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October 19 Sermon - Pastor Keith Moore</w:t>
        <w:br w:type="textWrapping"/>
        <w:t xml:space="preserve">Series: Abiding In Christ Part 4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Sermon: Prayer &amp; Fasting To Stay Close to Jesus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Focus Passage: John 15:7 &amp; selected verses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sz w:val="24"/>
          <w:szCs w:val="24"/>
        </w:rPr>
      </w:pPr>
      <w:bookmarkStart w:colFirst="0" w:colLast="0" w:name="_9bmy519ici6d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Icebreaker Question: </w:t>
      </w:r>
      <w:r w:rsidDel="00000000" w:rsidR="00000000" w:rsidRPr="00000000">
        <w:rPr>
          <w:sz w:val="24"/>
          <w:szCs w:val="24"/>
          <w:rtl w:val="0"/>
        </w:rPr>
        <w:t xml:space="preserve">W</w:t>
      </w:r>
      <w:r w:rsidDel="00000000" w:rsidR="00000000" w:rsidRPr="00000000">
        <w:rPr>
          <w:sz w:val="24"/>
          <w:szCs w:val="24"/>
          <w:rtl w:val="0"/>
        </w:rPr>
        <w:t xml:space="preserve">hat’s something you’ve tried to give up before (like sugar, coffee, or TV) that turned out to be harder than expected?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2w7weqnhsrgc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Discussion Questions: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i w:val="1"/>
          <w:color w:val="000000"/>
          <w:sz w:val="24"/>
          <w:szCs w:val="24"/>
        </w:rPr>
      </w:pPr>
      <w:bookmarkStart w:colFirst="0" w:colLast="0" w:name="_q7auqlets4l7" w:id="2"/>
      <w:bookmarkEnd w:id="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1. Read John 15:5. Why do you think Jesus said, 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“Without Me, you can do nothing”?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vs14q797hsax" w:id="3"/>
      <w:bookmarkEnd w:id="3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What does it look like for you to “abide” in Jesus during everyday life?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r24wooh3di9r" w:id="4"/>
      <w:bookmarkEnd w:id="4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Read John 15:7. Jesus said, 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“If you remain in Me and My words remain in you, ask whatever you want and it will be done for you.”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What does this teach us about prayer?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6bt6kphe3621" w:id="5"/>
      <w:bookmarkEnd w:id="5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Pastor Keith mentioned using the Dogwood Quiet Walk Daily Devotional Emails to guide prayer. Why is it helpful to have Scripture-based prompts when we pray?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gbfjg9mmselm" w:id="6"/>
      <w:bookmarkEnd w:id="6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5. Read Matthew 6:16-18. What did Jesus teach about the 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heart attitude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behind fasting?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5sk25f5q80de" w:id="7"/>
      <w:bookmarkEnd w:id="7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6. How can fasting help us “abide in Christ” and grow spiritually?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1bna51rixbjc" w:id="8"/>
      <w:bookmarkEnd w:id="8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7. What type of fast might God be leading you to do during these 21 days: food, social media, entertainment, or something else, and why?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