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20 Sermon - Pastor Keith Moore</w:t>
        <w:br w:type="textWrapping"/>
        <w:t xml:space="preserve">Following Jesus – Remember the Power of Prayer</w:t>
        <w:br w:type="textWrapping"/>
        <w:t xml:space="preserve">Focus Passages: John 14:12-14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color w:val="000000"/>
          <w:sz w:val="24"/>
          <w:szCs w:val="24"/>
        </w:rPr>
      </w:pPr>
      <w:bookmarkStart w:colFirst="0" w:colLast="0" w:name="_9cjqnsty4r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Icebreaker Question: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If you could ask God for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anything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and get it (like a vending machine), what would it be?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msgx1dnv92fn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Discussion Questions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qhl2193pm8j1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What does it mean to “believe in Jesus” according to John 14:12?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okyl9qam2ce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Jesus says believers will do “greater works” than He did (John 14:12). How is that even possible?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84k4xodx6v1w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How does remembering the power of prayer help calm a troubled heart?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4qukav4xr9vm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Why does Jesus say we must pray "in His name"? What does that actually mean?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5ysjrln0kgsq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Based on John 15:7, what are some prayers that God will always say “yes” to?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iz9we52gl5ec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Pastor Keith said, “There’s nothing more effective, important, or powerful we can do UNTIL we’ve prayed.” Do you agree? Why or why not?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1tyvn333xacj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What’s one way you want to pray “better” this week?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