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August 24 Sermon - Pastor Keith Moore</w:t>
        <w:br w:type="textWrapping"/>
        <w:t xml:space="preserve">The Exodus 36 Initiative: How to Get an Answer From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 Passage: Jeremiah 33:3 &amp; Selected verses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8tiwvbz4fomi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Icebreaker Question: </w:t>
      </w:r>
      <w:r w:rsidDel="00000000" w:rsidR="00000000" w:rsidRPr="00000000">
        <w:rPr>
          <w:sz w:val="24"/>
          <w:szCs w:val="24"/>
          <w:rtl w:val="0"/>
        </w:rPr>
        <w:t xml:space="preserve">If you could ask God one question and get an immediate audible answer, what would it be?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3g8zi2nrytko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1llsrg8g51c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Read Jeremiah 33:3. What does this verse promise about prayer and God’s response?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r1pmeudg1r4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Why is setting aside time important if we want to hear from God?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qi2455msijn9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How does praying specifically change the way we relate to God?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zugs83ecmye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Pastor Keith emphasized balanced prayer (Adoration, Confession, Thanksgiving, Supplication, and Silence). Which of these is easiest for you, and which is hardest?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8p7fwlv3et6x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What are the different ways God speaks, according to the sermon?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1n9odt7tp84e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What’s the danger of asking God for guidance but not obeying what He’s already told us?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jmnbh6s02703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How might praying and listening in this way transform both our giving in The Exodus 36 Initiative and our personal walk with God?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