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August 17 Sermon - Pastor Keith Moore</w:t>
        <w:br w:type="textWrapping"/>
        <w:t xml:space="preserve">More Than Enough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Focus Passage: Exodus 35:4-9, 20-29; Focus verses 36:3-7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sz w:val="24"/>
          <w:szCs w:val="24"/>
        </w:rPr>
      </w:pPr>
      <w:bookmarkStart w:colFirst="0" w:colLast="0" w:name="_b0ehzqux8o4k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Icebreaker: </w:t>
      </w:r>
      <w:r w:rsidDel="00000000" w:rsidR="00000000" w:rsidRPr="00000000">
        <w:rPr>
          <w:sz w:val="24"/>
          <w:szCs w:val="24"/>
          <w:rtl w:val="0"/>
        </w:rPr>
        <w:t xml:space="preserve">If our group had to build something together, what would we build and who would be in charge of snacks?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cfedkjvw40z3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Discussion Questions 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izaqvxdvertd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Read Exodus 35:4–9. What stands out to you about the way Moses calls the people to give?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g4a6uu13k85q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How do the people respond in Exodus 35:20–29, and what does their example teach us?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ukcr2er8uhc3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Exodus 36:5–7 describes a “more than enough” moment. What does that reveal about God’s provision when His people obey?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Why is it significant that the offering was connected to a place of worship, the Tabernacle, in this story?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k9pcha5wxzc4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The challenge was for each household to consider giving $20 more a week. Why might small, consistent steps of obedience matter as much as large gifts?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m9ox4hm40yfe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What could God do through our church if we eliminated our debt by the 40th anniversary?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3hczv3geqch9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What is one way you can personally participate in this initiative: financially, prayerfully, or through encouragement?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