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 we grow in a Spiritual Gift?</w:t>
      </w:r>
      <w:r w:rsidDel="00000000" w:rsidR="00000000" w:rsidRPr="00000000">
        <w:rPr>
          <w:rtl w:val="0"/>
        </w:rPr>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are three instances where a correction may be necessary? See 1 Corinthians 14.</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 we know if a prophetic word might need to be corrected?</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0">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Why is correction of the misuse of a gift important and necessary?</w:t>
      </w:r>
    </w:p>
    <w:p w:rsidR="00000000" w:rsidDel="00000000" w:rsidP="00000000" w:rsidRDefault="00000000" w:rsidRPr="00000000" w14:paraId="00000012">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4">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8">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Week 7: Coaching of the Spiritual Gifts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