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20F5" w14:textId="41CEDE09" w:rsidR="00200917" w:rsidRDefault="00BA437B" w:rsidP="005356C3">
      <w:pPr>
        <w:jc w:val="both"/>
      </w:pPr>
      <w:r>
        <w:rPr>
          <w:noProof/>
        </w:rPr>
        <w:pict w14:anchorId="53663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4pt;margin-top:0;width:168.65pt;height:168.65pt;z-index:251658240;mso-wrap-edited:f;mso-width-percent:0;mso-height-percent:0;mso-width-percent:0;mso-height-percent:0">
            <v:imagedata r:id="rId6" o:title=""/>
            <w10:wrap type="square"/>
          </v:shape>
        </w:pict>
      </w:r>
      <w:r w:rsidR="00844937">
        <w:rPr>
          <w:b/>
          <w:sz w:val="48"/>
        </w:rPr>
        <w:t>Group Session</w:t>
      </w:r>
    </w:p>
    <w:p w14:paraId="49A222E8" w14:textId="11C937E2" w:rsidR="00200917" w:rsidRDefault="005356C3">
      <w:pPr>
        <w:jc w:val="both"/>
      </w:pPr>
      <w:r>
        <w:rPr>
          <w:sz w:val="18"/>
        </w:rPr>
        <w:t>S</w:t>
      </w:r>
      <w:r w:rsidR="00200917">
        <w:rPr>
          <w:sz w:val="18"/>
        </w:rPr>
        <w:t>mall Group Study</w:t>
      </w:r>
    </w:p>
    <w:p w14:paraId="6C21F831" w14:textId="77777777" w:rsidR="00200917" w:rsidRDefault="00200917">
      <w:pPr>
        <w:spacing w:before="180"/>
        <w:jc w:val="both"/>
      </w:pPr>
      <w:r>
        <w:rPr>
          <w:b/>
        </w:rPr>
        <w:t>Overview</w:t>
      </w:r>
    </w:p>
    <w:p w14:paraId="6E3B6ECD" w14:textId="600B3A90" w:rsidR="00200917" w:rsidRDefault="00200917">
      <w:pPr>
        <w:spacing w:before="180"/>
        <w:jc w:val="both"/>
        <w:rPr>
          <w:i/>
        </w:rPr>
      </w:pPr>
      <w:r>
        <w:rPr>
          <w:i/>
        </w:rPr>
        <w:t xml:space="preserve">Today’s session will look at a passage in </w:t>
      </w:r>
      <w:r w:rsidRPr="00433836">
        <w:rPr>
          <w:i/>
        </w:rPr>
        <w:t>Acts 2</w:t>
      </w:r>
      <w:r>
        <w:rPr>
          <w:i/>
        </w:rPr>
        <w:t xml:space="preserve"> that helps us understand the values and the purpose of the Early Church. Everything they did was to fulfill God’s mission. In his book, </w:t>
      </w:r>
      <w:r>
        <w:t>The Mission of God</w:t>
      </w:r>
      <w:r>
        <w:rPr>
          <w:i/>
        </w:rPr>
        <w:t xml:space="preserve">, Christopher Wright shares, “It is not so much the case that God has a mission for his church in the </w:t>
      </w:r>
      <w:proofErr w:type="gramStart"/>
      <w:r>
        <w:rPr>
          <w:i/>
        </w:rPr>
        <w:t>world</w:t>
      </w:r>
      <w:proofErr w:type="gramEnd"/>
      <w:r>
        <w:rPr>
          <w:i/>
        </w:rPr>
        <w:t xml:space="preserve"> but that God has a church for his mission in the world. Mission was not made for the church; the church was made for mission—God’s mission.” This team—the Early Church—was completely committed to God’s mission. And that commitment should continue in us today!</w:t>
      </w:r>
    </w:p>
    <w:p w14:paraId="7638BEC4" w14:textId="77777777" w:rsidR="000C74AF" w:rsidRDefault="000C74AF" w:rsidP="000C74AF">
      <w:pPr>
        <w:rPr>
          <w:i/>
        </w:rPr>
      </w:pPr>
    </w:p>
    <w:p w14:paraId="50F63A19" w14:textId="3034D76A" w:rsidR="000C74AF" w:rsidRPr="000C74AF" w:rsidRDefault="000C74AF" w:rsidP="000C74AF">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29134AA7" w14:textId="77777777" w:rsidR="00200917" w:rsidRPr="00DD2E9A" w:rsidRDefault="00200917">
      <w:pPr>
        <w:pBdr>
          <w:bottom w:val="single" w:sz="8" w:space="0" w:color="auto"/>
        </w:pBdr>
        <w:spacing w:before="540"/>
        <w:rPr>
          <w:sz w:val="11"/>
          <w:szCs w:val="11"/>
        </w:rPr>
      </w:pPr>
    </w:p>
    <w:p w14:paraId="6423A4C3" w14:textId="77777777" w:rsidR="00200917" w:rsidRDefault="00200917">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200917" w14:paraId="331E9997" w14:textId="77777777">
        <w:tc>
          <w:tcPr>
            <w:tcW w:w="8640" w:type="dxa"/>
            <w:tcBorders>
              <w:top w:val="nil"/>
              <w:left w:val="nil"/>
              <w:bottom w:val="nil"/>
              <w:right w:val="nil"/>
            </w:tcBorders>
          </w:tcPr>
          <w:p w14:paraId="45D90816" w14:textId="77777777" w:rsidR="005356C3" w:rsidRDefault="005356C3">
            <w:pPr>
              <w:jc w:val="both"/>
              <w:rPr>
                <w:rFonts w:ascii="Open Sans" w:hAnsi="Open Sans"/>
                <w:b/>
                <w:caps/>
                <w:sz w:val="18"/>
                <w:shd w:val="solid" w:color="EDE8DD" w:fill="EDE8DD"/>
              </w:rPr>
            </w:pPr>
          </w:p>
          <w:p w14:paraId="5E000B42" w14:textId="77777777" w:rsidR="005356C3" w:rsidRPr="001A488D" w:rsidRDefault="005356C3" w:rsidP="005356C3">
            <w:pPr>
              <w:rPr>
                <w:b/>
                <w:bCs/>
                <w:sz w:val="22"/>
                <w:szCs w:val="22"/>
              </w:rPr>
            </w:pPr>
            <w:r w:rsidRPr="001A488D">
              <w:rPr>
                <w:b/>
                <w:bCs/>
                <w:sz w:val="22"/>
                <w:szCs w:val="22"/>
              </w:rPr>
              <w:t>QUESTION</w:t>
            </w:r>
          </w:p>
          <w:p w14:paraId="45143413" w14:textId="07157EDD" w:rsidR="00200917" w:rsidRDefault="00200917" w:rsidP="00DD2E9A">
            <w:r w:rsidRPr="005356C3">
              <w:t>What is the best team you were ever on? What made the team great?</w:t>
            </w:r>
          </w:p>
        </w:tc>
      </w:tr>
    </w:tbl>
    <w:p w14:paraId="1A58E5E7" w14:textId="5EE02EFF" w:rsidR="00200917" w:rsidRDefault="00200917">
      <w:pPr>
        <w:spacing w:before="180"/>
        <w:jc w:val="both"/>
      </w:pPr>
      <w:r>
        <w:t xml:space="preserve">After Jesus returned to heaven, the first believers gathered and waited for the promised gift of the Holy Spirit. After this small community was filled with the Holy Spirit at Pentecost, the Church began to grow. By the end of </w:t>
      </w:r>
      <w:r w:rsidRPr="00433836">
        <w:t>Acts 2</w:t>
      </w:r>
      <w:r>
        <w:t>, we find that these early believers became a team that worshipped and worked together. Let’s consider what they can show us about God’s plan for His Church.</w:t>
      </w:r>
    </w:p>
    <w:p w14:paraId="5F788504" w14:textId="77777777" w:rsidR="00200917" w:rsidRDefault="00200917">
      <w:pPr>
        <w:spacing w:before="360"/>
      </w:pPr>
      <w:r>
        <w:rPr>
          <w:b/>
          <w:sz w:val="28"/>
        </w:rPr>
        <w:t>Watch</w:t>
      </w:r>
    </w:p>
    <w:p w14:paraId="2D93C9D7" w14:textId="2A8CD5FD" w:rsidR="00200917" w:rsidRDefault="00200917">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200917" w14:paraId="6B4FFE3C" w14:textId="77777777">
        <w:tc>
          <w:tcPr>
            <w:tcW w:w="8640" w:type="dxa"/>
            <w:tcBorders>
              <w:top w:val="nil"/>
              <w:left w:val="nil"/>
              <w:bottom w:val="nil"/>
              <w:right w:val="nil"/>
            </w:tcBorders>
          </w:tcPr>
          <w:p w14:paraId="020C528B" w14:textId="77777777" w:rsidR="005356C3" w:rsidRDefault="005356C3">
            <w:pPr>
              <w:jc w:val="both"/>
              <w:rPr>
                <w:rFonts w:ascii="Open Sans" w:hAnsi="Open Sans"/>
                <w:b/>
                <w:caps/>
                <w:sz w:val="18"/>
                <w:shd w:val="solid" w:color="EDE8DD" w:fill="EDE8DD"/>
              </w:rPr>
            </w:pPr>
          </w:p>
          <w:p w14:paraId="2DC758B8" w14:textId="77777777" w:rsidR="005356C3" w:rsidRPr="001A488D" w:rsidRDefault="005356C3" w:rsidP="005356C3">
            <w:pPr>
              <w:rPr>
                <w:b/>
                <w:bCs/>
                <w:sz w:val="22"/>
                <w:szCs w:val="22"/>
              </w:rPr>
            </w:pPr>
            <w:r w:rsidRPr="001A488D">
              <w:rPr>
                <w:b/>
                <w:bCs/>
                <w:sz w:val="22"/>
                <w:szCs w:val="22"/>
              </w:rPr>
              <w:t>QUESTION</w:t>
            </w:r>
          </w:p>
          <w:p w14:paraId="6F6466CF" w14:textId="5EB098F5" w:rsidR="005356C3" w:rsidRPr="005356C3" w:rsidRDefault="00200917" w:rsidP="005356C3">
            <w:r w:rsidRPr="005356C3">
              <w:t>What comes to mind when you think about church?</w:t>
            </w:r>
          </w:p>
          <w:p w14:paraId="6D4AD811" w14:textId="5E155787" w:rsidR="00200917" w:rsidRDefault="00A05045">
            <w:pPr>
              <w:spacing w:before="90"/>
              <w:jc w:val="both"/>
            </w:pPr>
            <w:r>
              <w:rPr>
                <w:noProof/>
              </w:rPr>
              <w:drawing>
                <wp:anchor distT="0" distB="0" distL="114300" distR="114300" simplePos="0" relativeHeight="251659264" behindDoc="0" locked="0" layoutInCell="1" allowOverlap="1" wp14:anchorId="73CBCB74" wp14:editId="35307978">
                  <wp:simplePos x="0" y="0"/>
                  <wp:positionH relativeFrom="column">
                    <wp:posOffset>0</wp:posOffset>
                  </wp:positionH>
                  <wp:positionV relativeFrom="paragraph">
                    <wp:posOffset>127537</wp:posOffset>
                  </wp:positionV>
                  <wp:extent cx="2321169" cy="1223987"/>
                  <wp:effectExtent l="0" t="0" r="3175" b="0"/>
                  <wp:wrapSquare wrapText="bothSides"/>
                  <wp:docPr id="975485936" name="Picture 2" descr="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85936" name="Picture 2" descr="A person holding a bab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169" cy="1223987"/>
                          </a:xfrm>
                          <a:prstGeom prst="rect">
                            <a:avLst/>
                          </a:prstGeom>
                        </pic:spPr>
                      </pic:pic>
                    </a:graphicData>
                  </a:graphic>
                  <wp14:sizeRelH relativeFrom="page">
                    <wp14:pctWidth>0</wp14:pctWidth>
                  </wp14:sizeRelH>
                  <wp14:sizeRelV relativeFrom="page">
                    <wp14:pctHeight>0</wp14:pctHeight>
                  </wp14:sizeRelV>
                </wp:anchor>
              </w:drawing>
            </w:r>
          </w:p>
        </w:tc>
      </w:tr>
    </w:tbl>
    <w:p w14:paraId="4A1E453F" w14:textId="4E2D4232" w:rsidR="00200917" w:rsidRDefault="00200917">
      <w:pPr>
        <w:pBdr>
          <w:bottom w:val="single" w:sz="8" w:space="0" w:color="auto"/>
        </w:pBdr>
        <w:spacing w:before="540"/>
      </w:pPr>
    </w:p>
    <w:p w14:paraId="065364A5" w14:textId="77777777" w:rsidR="00200917" w:rsidRDefault="00200917">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703E9E5C" w14:textId="77777777">
        <w:tc>
          <w:tcPr>
            <w:tcW w:w="8640" w:type="dxa"/>
            <w:tcBorders>
              <w:top w:val="nil"/>
              <w:left w:val="nil"/>
              <w:bottom w:val="nil"/>
              <w:right w:val="nil"/>
            </w:tcBorders>
          </w:tcPr>
          <w:p w14:paraId="4EAE5B86" w14:textId="77777777" w:rsidR="00747057" w:rsidRPr="00747057" w:rsidRDefault="00747057" w:rsidP="00747057">
            <w:pPr>
              <w:pBdr>
                <w:top w:val="nil"/>
                <w:left w:val="nil"/>
                <w:bottom w:val="nil"/>
                <w:right w:val="nil"/>
                <w:between w:val="nil"/>
              </w:pBdr>
              <w:rPr>
                <w:rFonts w:eastAsia="Times New Roman" w:cs="Times New Roman"/>
                <w:i/>
                <w:iCs/>
                <w:sz w:val="21"/>
                <w:szCs w:val="21"/>
              </w:rPr>
            </w:pPr>
            <w:r w:rsidRPr="00747057">
              <w:rPr>
                <w:rFonts w:eastAsia="Times New Roman" w:cs="Times New Roman"/>
                <w:i/>
                <w:iCs/>
                <w:sz w:val="21"/>
                <w:szCs w:val="21"/>
              </w:rPr>
              <w:t xml:space="preserve">When you’re on a great team, there’s nothing quite like it. Great teams trust each other, work together, comprise different strengths and weaknesses, and remain focused on their primary mission. In the business world, successful teams are marked by clear and compelling vision, shared values, and an executable strategy. In sports, less talented teams can win by superior teamwork and a better strategy or system. Marriage and parenting can be one of the greatest tests of teamwork—and one of the most rewarding. When you’re on a great team, there’s nothing like it. </w:t>
            </w:r>
          </w:p>
          <w:p w14:paraId="11F9F308" w14:textId="77777777" w:rsidR="00747057" w:rsidRPr="00747057" w:rsidRDefault="00747057" w:rsidP="00747057">
            <w:pPr>
              <w:pBdr>
                <w:top w:val="nil"/>
                <w:left w:val="nil"/>
                <w:bottom w:val="nil"/>
                <w:right w:val="nil"/>
                <w:between w:val="nil"/>
              </w:pBdr>
              <w:rPr>
                <w:rFonts w:eastAsia="Times New Roman" w:cs="Times New Roman"/>
                <w:i/>
                <w:iCs/>
                <w:sz w:val="21"/>
                <w:szCs w:val="21"/>
              </w:rPr>
            </w:pPr>
          </w:p>
          <w:p w14:paraId="3CED3B18" w14:textId="77777777" w:rsidR="00747057" w:rsidRPr="00747057" w:rsidRDefault="00747057" w:rsidP="00747057">
            <w:pPr>
              <w:pBdr>
                <w:top w:val="nil"/>
                <w:left w:val="nil"/>
                <w:bottom w:val="nil"/>
                <w:right w:val="nil"/>
                <w:between w:val="nil"/>
              </w:pBdr>
              <w:rPr>
                <w:rFonts w:eastAsia="Times New Roman" w:cs="Times New Roman"/>
                <w:i/>
                <w:iCs/>
                <w:sz w:val="21"/>
                <w:szCs w:val="21"/>
              </w:rPr>
            </w:pPr>
            <w:r w:rsidRPr="00747057">
              <w:rPr>
                <w:rFonts w:eastAsia="Times New Roman" w:cs="Times New Roman"/>
                <w:i/>
                <w:iCs/>
                <w:sz w:val="21"/>
                <w:szCs w:val="21"/>
              </w:rPr>
              <w:t xml:space="preserve">But the inverse is also true: When you’re on a terrible team, there’s nothing quite like it. Clearly good teamwork matters in every area of life. </w:t>
            </w:r>
          </w:p>
          <w:p w14:paraId="2C811CE7" w14:textId="77777777" w:rsidR="00200917" w:rsidRPr="005356C3" w:rsidRDefault="00200917" w:rsidP="005356C3"/>
        </w:tc>
      </w:tr>
      <w:tr w:rsidR="00200917" w:rsidRPr="005356C3" w14:paraId="7FEB4F4A" w14:textId="77777777">
        <w:tc>
          <w:tcPr>
            <w:tcW w:w="8640" w:type="dxa"/>
            <w:tcBorders>
              <w:top w:val="nil"/>
              <w:left w:val="nil"/>
              <w:bottom w:val="nil"/>
              <w:right w:val="nil"/>
            </w:tcBorders>
          </w:tcPr>
          <w:p w14:paraId="7B02A6E5" w14:textId="77777777" w:rsidR="005356C3" w:rsidRPr="001A488D" w:rsidRDefault="005356C3" w:rsidP="005356C3">
            <w:pPr>
              <w:rPr>
                <w:b/>
                <w:bCs/>
                <w:sz w:val="22"/>
                <w:szCs w:val="22"/>
              </w:rPr>
            </w:pPr>
            <w:r w:rsidRPr="001A488D">
              <w:rPr>
                <w:b/>
                <w:bCs/>
                <w:sz w:val="22"/>
                <w:szCs w:val="22"/>
              </w:rPr>
              <w:t>QUESTION</w:t>
            </w:r>
          </w:p>
          <w:p w14:paraId="1ACB2F89" w14:textId="1D370517" w:rsidR="00200917" w:rsidRPr="005356C3" w:rsidRDefault="00200917" w:rsidP="005356C3">
            <w:r w:rsidRPr="005356C3">
              <w:t>What’s a good example of teamwork that you’ve seen at church?</w:t>
            </w:r>
          </w:p>
        </w:tc>
      </w:tr>
    </w:tbl>
    <w:p w14:paraId="223449CF" w14:textId="77777777" w:rsidR="00200917" w:rsidRDefault="00200917">
      <w:pPr>
        <w:pBdr>
          <w:bottom w:val="single" w:sz="8" w:space="0" w:color="auto"/>
        </w:pBdr>
        <w:spacing w:before="540"/>
      </w:pPr>
    </w:p>
    <w:p w14:paraId="4B005DAC" w14:textId="77777777" w:rsidR="00200917" w:rsidRDefault="00200917">
      <w:pPr>
        <w:spacing w:before="180"/>
      </w:pPr>
      <w:r>
        <w:rPr>
          <w:b/>
          <w:sz w:val="36"/>
        </w:rPr>
        <w:t>What the Bible Says</w:t>
      </w:r>
    </w:p>
    <w:p w14:paraId="68165BCC" w14:textId="77777777" w:rsidR="00200917" w:rsidRDefault="00200917">
      <w:pPr>
        <w:spacing w:before="180"/>
        <w:jc w:val="both"/>
      </w:pPr>
      <w:r>
        <w:t>Jesus left His life’s work in the hands of a team. These team members had a history of dysfunction and infighting, but now they had a new motivation and a new mission. Their motivation was the crucified, resurrected, and ascended Christ and their mission was to bear witness to Him—to the very ends of the earth!</w:t>
      </w:r>
    </w:p>
    <w:p w14:paraId="3CCC8E35" w14:textId="77777777" w:rsidR="00200917" w:rsidRDefault="00200917">
      <w:pPr>
        <w:spacing w:before="180"/>
        <w:jc w:val="both"/>
      </w:pPr>
      <w:r>
        <w:t xml:space="preserve">His disciples began to make disciples. Then, as these disciples began to </w:t>
      </w:r>
      <w:proofErr w:type="gramStart"/>
      <w:r>
        <w:t>gather together</w:t>
      </w:r>
      <w:proofErr w:type="gramEnd"/>
      <w:r>
        <w:t>, the Church was born. The Book of Acts gives us a glimpse of what life was like in the Early Church, and they were quite the team!</w:t>
      </w:r>
    </w:p>
    <w:p w14:paraId="0E784CB7" w14:textId="77777777" w:rsidR="00200917" w:rsidRDefault="00200917">
      <w:pPr>
        <w:spacing w:before="180"/>
        <w:jc w:val="both"/>
      </w:pPr>
      <w:r>
        <w:rPr>
          <w:b/>
        </w:rPr>
        <w:t>A Gathered People</w:t>
      </w:r>
    </w:p>
    <w:p w14:paraId="3823CA91" w14:textId="29A7FD02" w:rsidR="00200917" w:rsidRDefault="00200917">
      <w:pPr>
        <w:spacing w:before="180"/>
        <w:jc w:val="both"/>
      </w:pPr>
      <w:r>
        <w:t xml:space="preserve">Read </w:t>
      </w:r>
      <w:r w:rsidRPr="00433836">
        <w:t>Acts 2:42–43</w:t>
      </w:r>
      <w:r>
        <w:t>.</w:t>
      </w:r>
    </w:p>
    <w:p w14:paraId="501EFE75" w14:textId="77777777" w:rsidR="00200917" w:rsidRDefault="00200917">
      <w:pPr>
        <w:spacing w:before="180"/>
        <w:jc w:val="both"/>
      </w:pPr>
      <w:r>
        <w:t>These early believers were not casual followers of Jesus or part-time disciples. They were fully committed to grow in Christ. To do that, we need biblical teaching, meaningful community, and spiritual disciplines. Gaining knowledge about the Bible apart from the other two can create pride or misapplied doctrine. And a community without the truth of God’s Word and prayerful dependence lacks the power to change lives.</w:t>
      </w:r>
    </w:p>
    <w:tbl>
      <w:tblPr>
        <w:tblW w:w="0" w:type="auto"/>
        <w:tblLayout w:type="fixed"/>
        <w:tblCellMar>
          <w:left w:w="0" w:type="dxa"/>
          <w:right w:w="0" w:type="dxa"/>
        </w:tblCellMar>
        <w:tblLook w:val="0000" w:firstRow="0" w:lastRow="0" w:firstColumn="0" w:lastColumn="0" w:noHBand="0" w:noVBand="0"/>
      </w:tblPr>
      <w:tblGrid>
        <w:gridCol w:w="8640"/>
      </w:tblGrid>
      <w:tr w:rsidR="00200917" w14:paraId="2FE3D994" w14:textId="77777777">
        <w:tc>
          <w:tcPr>
            <w:tcW w:w="8640" w:type="dxa"/>
            <w:tcBorders>
              <w:top w:val="nil"/>
              <w:left w:val="nil"/>
              <w:bottom w:val="nil"/>
              <w:right w:val="nil"/>
            </w:tcBorders>
          </w:tcPr>
          <w:p w14:paraId="20914DDD" w14:textId="77777777" w:rsidR="005356C3" w:rsidRDefault="005356C3">
            <w:pPr>
              <w:jc w:val="both"/>
              <w:rPr>
                <w:rFonts w:ascii="Open Sans" w:hAnsi="Open Sans"/>
                <w:b/>
                <w:caps/>
                <w:sz w:val="18"/>
                <w:shd w:val="solid" w:color="EDE8DD" w:fill="EDE8DD"/>
              </w:rPr>
            </w:pPr>
          </w:p>
          <w:p w14:paraId="0164CBF7" w14:textId="77777777" w:rsidR="005356C3" w:rsidRPr="001A488D" w:rsidRDefault="005356C3" w:rsidP="005356C3">
            <w:pPr>
              <w:rPr>
                <w:b/>
                <w:bCs/>
                <w:sz w:val="22"/>
                <w:szCs w:val="22"/>
              </w:rPr>
            </w:pPr>
            <w:r w:rsidRPr="001A488D">
              <w:rPr>
                <w:b/>
                <w:bCs/>
                <w:sz w:val="22"/>
                <w:szCs w:val="22"/>
              </w:rPr>
              <w:t>QUESTION</w:t>
            </w:r>
          </w:p>
          <w:p w14:paraId="53C461AC" w14:textId="6CF94422" w:rsidR="00200917" w:rsidRDefault="00200917" w:rsidP="00747057">
            <w:r w:rsidRPr="005356C3">
              <w:t>The Early Church was devoted to teaching, community, and prayer. Which of the three are you most active in and why?</w:t>
            </w:r>
          </w:p>
        </w:tc>
      </w:tr>
    </w:tbl>
    <w:tbl>
      <w:tblPr>
        <w:tblpPr w:leftFromText="180" w:rightFromText="180" w:vertAnchor="text" w:horzAnchor="margin" w:tblpY="241"/>
        <w:tblW w:w="0" w:type="auto"/>
        <w:tblLayout w:type="fixed"/>
        <w:tblCellMar>
          <w:left w:w="0" w:type="dxa"/>
          <w:right w:w="0" w:type="dxa"/>
        </w:tblCellMar>
        <w:tblLook w:val="0000" w:firstRow="0" w:lastRow="0" w:firstColumn="0" w:lastColumn="0" w:noHBand="0" w:noVBand="0"/>
      </w:tblPr>
      <w:tblGrid>
        <w:gridCol w:w="8640"/>
      </w:tblGrid>
      <w:tr w:rsidR="00A0296C" w14:paraId="3E8F4198" w14:textId="77777777" w:rsidTr="00A0296C">
        <w:tc>
          <w:tcPr>
            <w:tcW w:w="8640" w:type="dxa"/>
            <w:tcBorders>
              <w:top w:val="nil"/>
              <w:left w:val="nil"/>
              <w:bottom w:val="nil"/>
              <w:right w:val="nil"/>
            </w:tcBorders>
          </w:tcPr>
          <w:p w14:paraId="4CB2F3BE" w14:textId="77777777" w:rsidR="00A0296C" w:rsidRPr="001A488D" w:rsidRDefault="00A0296C" w:rsidP="00A0296C">
            <w:pPr>
              <w:rPr>
                <w:b/>
                <w:bCs/>
                <w:sz w:val="22"/>
                <w:szCs w:val="22"/>
              </w:rPr>
            </w:pPr>
            <w:r w:rsidRPr="001A488D">
              <w:rPr>
                <w:b/>
                <w:bCs/>
                <w:sz w:val="22"/>
                <w:szCs w:val="22"/>
              </w:rPr>
              <w:t>QUESTION</w:t>
            </w:r>
          </w:p>
          <w:p w14:paraId="083D9BD0" w14:textId="77777777" w:rsidR="00A0296C" w:rsidRDefault="00A0296C" w:rsidP="00A0296C">
            <w:r w:rsidRPr="005356C3">
              <w:t>Give an example of how the combination of biblical teaching, meaningful community, and spiritual disciplines has helped you grow in your faith.</w:t>
            </w:r>
          </w:p>
        </w:tc>
      </w:tr>
    </w:tbl>
    <w:p w14:paraId="531ED14A" w14:textId="12D7F8B7" w:rsidR="00200917" w:rsidRDefault="00200917">
      <w:pPr>
        <w:spacing w:before="360"/>
        <w:jc w:val="both"/>
      </w:pPr>
    </w:p>
    <w:p w14:paraId="52A495F3" w14:textId="77777777" w:rsidR="00200917" w:rsidRDefault="00200917">
      <w:pPr>
        <w:spacing w:before="180"/>
        <w:jc w:val="both"/>
      </w:pPr>
      <w:r>
        <w:rPr>
          <w:b/>
        </w:rPr>
        <w:lastRenderedPageBreak/>
        <w:t>A Generous People</w:t>
      </w:r>
    </w:p>
    <w:p w14:paraId="0F196BF0" w14:textId="18FC21C7" w:rsidR="00200917" w:rsidRDefault="00200917">
      <w:pPr>
        <w:spacing w:before="180"/>
        <w:jc w:val="both"/>
      </w:pPr>
      <w:r>
        <w:t xml:space="preserve">Read </w:t>
      </w:r>
      <w:r w:rsidRPr="00433836">
        <w:t>Acts 2:44–45</w:t>
      </w:r>
      <w:r>
        <w:t>.</w:t>
      </w:r>
    </w:p>
    <w:p w14:paraId="5D4E95CD" w14:textId="77777777" w:rsidR="00200917" w:rsidRDefault="00200917">
      <w:pPr>
        <w:spacing w:before="180"/>
        <w:jc w:val="both"/>
      </w:pPr>
      <w:r>
        <w:t>The hospitality and generosity of these believers are stunning. The text says that they shared “everything” they had. They sold their land and possessions to help those in need. Something had radically changed their hearts. They were no longer looking for significance or security in their wealth.</w:t>
      </w:r>
    </w:p>
    <w:p w14:paraId="2AD5BB7B" w14:textId="77777777" w:rsidR="00200917" w:rsidRDefault="00200917">
      <w:pPr>
        <w:spacing w:before="180"/>
        <w:jc w:val="both"/>
      </w:pPr>
      <w:r>
        <w:t>In our culture, spenders tend to look to money for significance, and savers tend to look to money for security. The Early Church did neither. They saw money as a tool to help others.</w:t>
      </w:r>
    </w:p>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786C963A" w14:textId="77777777">
        <w:tc>
          <w:tcPr>
            <w:tcW w:w="8640" w:type="dxa"/>
            <w:tcBorders>
              <w:top w:val="nil"/>
              <w:left w:val="nil"/>
              <w:bottom w:val="nil"/>
              <w:right w:val="nil"/>
            </w:tcBorders>
          </w:tcPr>
          <w:p w14:paraId="170CC637" w14:textId="77777777" w:rsidR="005356C3" w:rsidRPr="005356C3" w:rsidRDefault="005356C3" w:rsidP="005356C3"/>
          <w:p w14:paraId="601CE047" w14:textId="77777777" w:rsidR="005356C3" w:rsidRPr="001A488D" w:rsidRDefault="005356C3" w:rsidP="005356C3">
            <w:pPr>
              <w:rPr>
                <w:b/>
                <w:bCs/>
                <w:sz w:val="22"/>
                <w:szCs w:val="22"/>
              </w:rPr>
            </w:pPr>
            <w:r w:rsidRPr="001A488D">
              <w:rPr>
                <w:b/>
                <w:bCs/>
                <w:sz w:val="22"/>
                <w:szCs w:val="22"/>
              </w:rPr>
              <w:t>QUESTION</w:t>
            </w:r>
          </w:p>
          <w:p w14:paraId="12DE6244" w14:textId="18D4458E" w:rsidR="00200917" w:rsidRPr="005356C3" w:rsidRDefault="00200917" w:rsidP="005356C3">
            <w:r w:rsidRPr="005356C3">
              <w:t>What do you think about these actions? Should we see more of this in the church today? Why or why not?</w:t>
            </w:r>
          </w:p>
        </w:tc>
      </w:tr>
    </w:tbl>
    <w:p w14:paraId="78CC32DE"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31872CA7" w14:textId="77777777">
        <w:tc>
          <w:tcPr>
            <w:tcW w:w="8640" w:type="dxa"/>
            <w:tcBorders>
              <w:top w:val="nil"/>
              <w:left w:val="nil"/>
              <w:bottom w:val="nil"/>
              <w:right w:val="nil"/>
            </w:tcBorders>
          </w:tcPr>
          <w:p w14:paraId="1307731E" w14:textId="77777777" w:rsidR="005356C3" w:rsidRPr="001A488D" w:rsidRDefault="005356C3" w:rsidP="005356C3">
            <w:pPr>
              <w:rPr>
                <w:b/>
                <w:bCs/>
                <w:sz w:val="22"/>
                <w:szCs w:val="22"/>
              </w:rPr>
            </w:pPr>
            <w:r w:rsidRPr="001A488D">
              <w:rPr>
                <w:b/>
                <w:bCs/>
                <w:sz w:val="22"/>
                <w:szCs w:val="22"/>
              </w:rPr>
              <w:t>QUESTION</w:t>
            </w:r>
          </w:p>
          <w:p w14:paraId="02632B77" w14:textId="227D0A31" w:rsidR="00200917" w:rsidRPr="005356C3" w:rsidRDefault="00200917" w:rsidP="005356C3">
            <w:r w:rsidRPr="005356C3">
              <w:t>Why should the gospel make us a generous people? In other words, how does the gospel set us free from being enslaved to money and material possessions?</w:t>
            </w:r>
          </w:p>
        </w:tc>
      </w:tr>
    </w:tbl>
    <w:p w14:paraId="1875BEC7" w14:textId="77777777" w:rsidR="00200917" w:rsidRDefault="00200917">
      <w:pPr>
        <w:spacing w:before="180"/>
        <w:jc w:val="both"/>
      </w:pPr>
      <w:r>
        <w:rPr>
          <w:b/>
        </w:rPr>
        <w:t>A Growing People</w:t>
      </w:r>
    </w:p>
    <w:p w14:paraId="78248FD0" w14:textId="3D38C645" w:rsidR="00200917" w:rsidRDefault="00200917">
      <w:pPr>
        <w:spacing w:before="180"/>
        <w:jc w:val="both"/>
      </w:pPr>
      <w:r>
        <w:t xml:space="preserve">Read </w:t>
      </w:r>
      <w:r w:rsidRPr="00433836">
        <w:t>Acts 2:46–47</w:t>
      </w:r>
      <w:r>
        <w:t>.</w:t>
      </w:r>
    </w:p>
    <w:p w14:paraId="2DAE0F42" w14:textId="77777777" w:rsidR="00200917" w:rsidRDefault="00200917">
      <w:pPr>
        <w:spacing w:before="180"/>
        <w:jc w:val="both"/>
      </w:pPr>
      <w:r>
        <w:t>The Early Church was not only meeting in public, but privately in their homes too. They continued to meet in traditional settings for worship (the temple). But their faith could not be contained in the walls of the temple, so they gathered in homes as well.</w:t>
      </w:r>
    </w:p>
    <w:p w14:paraId="098C11A6" w14:textId="2E295CE7" w:rsidR="00200917" w:rsidRDefault="00200917">
      <w:pPr>
        <w:spacing w:before="180"/>
        <w:jc w:val="both"/>
      </w:pPr>
      <w:r>
        <w:t>It’s interesting to notice that they were well-liked! Being a Christian doesn’t mean you have to be unpopular or hated by everyone all the time. While these believers were faithful to God and generous to each other, the Lord began to add to their numbers. As they embraced their identity as the Church, God empowered their mission</w:t>
      </w:r>
      <w:r w:rsidR="005356C3">
        <w:t>,</w:t>
      </w:r>
      <w:r>
        <w:t xml:space="preserve"> and they grew!</w:t>
      </w:r>
    </w:p>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28AE46D4" w14:textId="77777777" w:rsidTr="000A43EA">
        <w:tc>
          <w:tcPr>
            <w:tcW w:w="8640" w:type="dxa"/>
            <w:tcBorders>
              <w:top w:val="nil"/>
              <w:left w:val="nil"/>
              <w:bottom w:val="nil"/>
              <w:right w:val="nil"/>
            </w:tcBorders>
          </w:tcPr>
          <w:p w14:paraId="46FA7E2B" w14:textId="77777777" w:rsidR="00A0296C" w:rsidRDefault="00A0296C" w:rsidP="005356C3">
            <w:pPr>
              <w:rPr>
                <w:b/>
                <w:bCs/>
                <w:sz w:val="22"/>
                <w:szCs w:val="22"/>
              </w:rPr>
            </w:pPr>
          </w:p>
          <w:p w14:paraId="2368E4C9" w14:textId="31FCB6B8" w:rsidR="005356C3" w:rsidRPr="001A488D" w:rsidRDefault="005356C3" w:rsidP="005356C3">
            <w:pPr>
              <w:rPr>
                <w:b/>
                <w:bCs/>
                <w:sz w:val="22"/>
                <w:szCs w:val="22"/>
              </w:rPr>
            </w:pPr>
            <w:r w:rsidRPr="001A488D">
              <w:rPr>
                <w:b/>
                <w:bCs/>
                <w:sz w:val="22"/>
                <w:szCs w:val="22"/>
              </w:rPr>
              <w:t>QUESTION</w:t>
            </w:r>
          </w:p>
          <w:p w14:paraId="384E2355" w14:textId="12C722D9" w:rsidR="00200917" w:rsidRPr="005356C3" w:rsidRDefault="00200917" w:rsidP="005356C3">
            <w:r w:rsidRPr="005356C3">
              <w:t>Is what you privately confess and believe in alignment with how you display your faith publicly? Why does this matter?</w:t>
            </w:r>
          </w:p>
        </w:tc>
      </w:tr>
    </w:tbl>
    <w:p w14:paraId="40DFE96A"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0E1CFCF6" w14:textId="77777777">
        <w:tc>
          <w:tcPr>
            <w:tcW w:w="8640" w:type="dxa"/>
            <w:tcBorders>
              <w:top w:val="nil"/>
              <w:left w:val="nil"/>
              <w:bottom w:val="nil"/>
              <w:right w:val="nil"/>
            </w:tcBorders>
          </w:tcPr>
          <w:p w14:paraId="3524BCC0" w14:textId="77777777" w:rsidR="005356C3" w:rsidRPr="001A488D" w:rsidRDefault="005356C3" w:rsidP="005356C3">
            <w:pPr>
              <w:rPr>
                <w:b/>
                <w:bCs/>
                <w:sz w:val="22"/>
                <w:szCs w:val="22"/>
              </w:rPr>
            </w:pPr>
            <w:r w:rsidRPr="001A488D">
              <w:rPr>
                <w:b/>
                <w:bCs/>
                <w:sz w:val="22"/>
                <w:szCs w:val="22"/>
              </w:rPr>
              <w:t>QUESTION</w:t>
            </w:r>
          </w:p>
          <w:p w14:paraId="691963F7" w14:textId="77EA9C2B" w:rsidR="00200917" w:rsidRPr="005356C3" w:rsidRDefault="00200917" w:rsidP="005356C3">
            <w:r w:rsidRPr="005356C3">
              <w:t>How has living out your faith caused you to enjoy “the goodwill of all people?”</w:t>
            </w:r>
          </w:p>
        </w:tc>
      </w:tr>
    </w:tbl>
    <w:p w14:paraId="54963093" w14:textId="77777777" w:rsidR="00200917" w:rsidRDefault="00200917">
      <w:pPr>
        <w:pBdr>
          <w:bottom w:val="single" w:sz="8" w:space="0" w:color="auto"/>
        </w:pBdr>
        <w:spacing w:before="540"/>
      </w:pPr>
    </w:p>
    <w:p w14:paraId="50DF5728" w14:textId="77777777" w:rsidR="00A0296C" w:rsidRDefault="00A0296C">
      <w:pPr>
        <w:pBdr>
          <w:bottom w:val="single" w:sz="8" w:space="0" w:color="auto"/>
        </w:pBdr>
        <w:spacing w:before="540"/>
      </w:pPr>
    </w:p>
    <w:p w14:paraId="08661784" w14:textId="77777777" w:rsidR="00A0296C" w:rsidRDefault="00A0296C">
      <w:pPr>
        <w:pBdr>
          <w:bottom w:val="single" w:sz="8" w:space="0" w:color="auto"/>
        </w:pBdr>
        <w:spacing w:before="540"/>
      </w:pPr>
    </w:p>
    <w:p w14:paraId="20D24FBF" w14:textId="77777777" w:rsidR="00200917" w:rsidRDefault="00200917">
      <w:pPr>
        <w:spacing w:before="180"/>
      </w:pPr>
      <w:r>
        <w:rPr>
          <w:b/>
          <w:sz w:val="36"/>
        </w:rPr>
        <w:t>Reflect</w:t>
      </w:r>
    </w:p>
    <w:p w14:paraId="3F4A0BC8" w14:textId="1551058C" w:rsidR="00200917" w:rsidRDefault="00200917">
      <w:pPr>
        <w:spacing w:before="180"/>
        <w:jc w:val="both"/>
      </w:pPr>
      <w:r>
        <w:t>When you consider the metaphors for the Church in Scripture, it’s clear how much God values the Church. We are His people (</w:t>
      </w:r>
      <w:r w:rsidRPr="00433836">
        <w:t>Galatians 6:16</w:t>
      </w:r>
      <w:r>
        <w:t>). Paul described the Church as the body of Christ and the bride of Christ (</w:t>
      </w:r>
      <w:r w:rsidRPr="00433836">
        <w:t>1 Corinthians 12:27</w:t>
      </w:r>
      <w:r>
        <w:t xml:space="preserve">; </w:t>
      </w:r>
      <w:r w:rsidRPr="00433836">
        <w:t>2 Corinthians 11:2</w:t>
      </w:r>
      <w:r>
        <w:t>).</w:t>
      </w:r>
    </w:p>
    <w:p w14:paraId="16B2D6BE" w14:textId="20F6792E" w:rsidR="00200917" w:rsidRDefault="00200917">
      <w:pPr>
        <w:spacing w:before="180"/>
        <w:jc w:val="both"/>
      </w:pPr>
      <w:r>
        <w:t>Look at how Peter uses the same language reserved for Israel to describe the Church, “But you are not like that, for you are a chosen people. You are royal priests, a holy nation, God’s very own possession. As a result, you can show others the goodness of God, for he called you out of the darkness into his wonderful light” (</w:t>
      </w:r>
      <w:r w:rsidRPr="00433836">
        <w:t>1 Peter 2:9</w:t>
      </w:r>
      <w:r>
        <w:t>).</w:t>
      </w:r>
    </w:p>
    <w:p w14:paraId="65E4FDC1" w14:textId="77777777" w:rsidR="00200917" w:rsidRDefault="00200917">
      <w:pPr>
        <w:spacing w:before="180"/>
        <w:jc w:val="both"/>
      </w:pPr>
      <w:r>
        <w:t>As wonderful and assuring as the first half of that verse is, the Church must never lose sight of its purpose as defined by the second half of the verse. The Church is the people of God saved by the power of God for the purposes of God. Those purposes enable us to show others God’s love and goodness. As we remember that we—the Church—were called “out of the darkness into his wonderful light,” we will have the right mission, right message, and right motivation.</w:t>
      </w:r>
    </w:p>
    <w:p w14:paraId="1CE7C0F0" w14:textId="77777777" w:rsidR="00200917" w:rsidRDefault="00200917">
      <w:pPr>
        <w:pBdr>
          <w:bottom w:val="single" w:sz="8" w:space="0" w:color="auto"/>
        </w:pBdr>
        <w:spacing w:before="540"/>
      </w:pPr>
    </w:p>
    <w:p w14:paraId="01E17947" w14:textId="77777777" w:rsidR="00200917" w:rsidRDefault="00200917">
      <w:pPr>
        <w:spacing w:before="180"/>
      </w:pPr>
      <w:r>
        <w:rPr>
          <w:b/>
          <w:sz w:val="36"/>
        </w:rPr>
        <w:t>Listen to God</w:t>
      </w:r>
    </w:p>
    <w:p w14:paraId="41F65436" w14:textId="77777777" w:rsidR="00200917" w:rsidRDefault="00200917">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22097709" w14:textId="77777777" w:rsidR="00200917" w:rsidRDefault="00200917">
      <w:pPr>
        <w:spacing w:before="360"/>
      </w:pPr>
      <w:r>
        <w:rPr>
          <w:b/>
          <w:sz w:val="28"/>
        </w:rPr>
        <w:t>Personal Reflection Questions</w:t>
      </w:r>
    </w:p>
    <w:p w14:paraId="60284F76" w14:textId="77777777" w:rsidR="00200917" w:rsidRDefault="00200917">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402B61A3" w14:textId="77777777">
        <w:tc>
          <w:tcPr>
            <w:tcW w:w="8640" w:type="dxa"/>
            <w:tcBorders>
              <w:top w:val="nil"/>
              <w:left w:val="nil"/>
              <w:bottom w:val="nil"/>
              <w:right w:val="nil"/>
            </w:tcBorders>
          </w:tcPr>
          <w:p w14:paraId="12AE0D0F" w14:textId="77777777" w:rsidR="005356C3" w:rsidRPr="005356C3" w:rsidRDefault="005356C3" w:rsidP="005356C3"/>
          <w:p w14:paraId="3A37BF1B" w14:textId="77777777" w:rsidR="005356C3" w:rsidRPr="001A488D" w:rsidRDefault="005356C3" w:rsidP="005356C3">
            <w:pPr>
              <w:rPr>
                <w:b/>
                <w:bCs/>
                <w:sz w:val="22"/>
                <w:szCs w:val="22"/>
              </w:rPr>
            </w:pPr>
            <w:r w:rsidRPr="001A488D">
              <w:rPr>
                <w:b/>
                <w:bCs/>
                <w:sz w:val="22"/>
                <w:szCs w:val="22"/>
              </w:rPr>
              <w:t>QUESTION</w:t>
            </w:r>
          </w:p>
          <w:p w14:paraId="19251F38" w14:textId="14FE2AAE" w:rsidR="00200917" w:rsidRPr="005356C3" w:rsidRDefault="00200917" w:rsidP="005356C3">
            <w:r w:rsidRPr="005356C3">
              <w:t xml:space="preserve">Biblical teaching, faith community, and prayer—which one of these three things do you struggle to devote yourself </w:t>
            </w:r>
            <w:proofErr w:type="gramStart"/>
            <w:r w:rsidRPr="005356C3">
              <w:t>to</w:t>
            </w:r>
            <w:proofErr w:type="gramEnd"/>
            <w:r w:rsidRPr="005356C3">
              <w:t xml:space="preserve"> most? Why? Take a moment and ask God to help you.</w:t>
            </w:r>
          </w:p>
        </w:tc>
      </w:tr>
    </w:tbl>
    <w:p w14:paraId="5B4D9031"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654709E7" w14:textId="77777777">
        <w:tc>
          <w:tcPr>
            <w:tcW w:w="8640" w:type="dxa"/>
            <w:tcBorders>
              <w:top w:val="nil"/>
              <w:left w:val="nil"/>
              <w:bottom w:val="nil"/>
              <w:right w:val="nil"/>
            </w:tcBorders>
          </w:tcPr>
          <w:p w14:paraId="143BF324" w14:textId="77777777" w:rsidR="005356C3" w:rsidRPr="001A488D" w:rsidRDefault="005356C3" w:rsidP="005356C3">
            <w:pPr>
              <w:rPr>
                <w:b/>
                <w:bCs/>
                <w:sz w:val="22"/>
                <w:szCs w:val="22"/>
              </w:rPr>
            </w:pPr>
            <w:r w:rsidRPr="001A488D">
              <w:rPr>
                <w:b/>
                <w:bCs/>
                <w:sz w:val="22"/>
                <w:szCs w:val="22"/>
              </w:rPr>
              <w:t>QUESTION</w:t>
            </w:r>
          </w:p>
          <w:p w14:paraId="43B080B9" w14:textId="54CD0112" w:rsidR="00200917" w:rsidRPr="005356C3" w:rsidRDefault="00200917" w:rsidP="005356C3">
            <w:r w:rsidRPr="005356C3">
              <w:t>Do you ever find yourself avoiding real community? What are your fears about knowing others and being known? List those fears and give them to God.</w:t>
            </w:r>
          </w:p>
        </w:tc>
      </w:tr>
    </w:tbl>
    <w:p w14:paraId="7153D4CE"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3DD7EE6B" w14:textId="77777777">
        <w:tc>
          <w:tcPr>
            <w:tcW w:w="8640" w:type="dxa"/>
            <w:tcBorders>
              <w:top w:val="nil"/>
              <w:left w:val="nil"/>
              <w:bottom w:val="nil"/>
              <w:right w:val="nil"/>
            </w:tcBorders>
          </w:tcPr>
          <w:p w14:paraId="59D489EE" w14:textId="77777777" w:rsidR="005356C3" w:rsidRPr="001A488D" w:rsidRDefault="005356C3" w:rsidP="005356C3">
            <w:pPr>
              <w:rPr>
                <w:b/>
                <w:bCs/>
                <w:sz w:val="22"/>
                <w:szCs w:val="22"/>
              </w:rPr>
            </w:pPr>
            <w:r w:rsidRPr="001A488D">
              <w:rPr>
                <w:b/>
                <w:bCs/>
                <w:sz w:val="22"/>
                <w:szCs w:val="22"/>
              </w:rPr>
              <w:t>QUESTION</w:t>
            </w:r>
          </w:p>
          <w:p w14:paraId="07F7C22D" w14:textId="77777777" w:rsidR="00200917" w:rsidRPr="005356C3" w:rsidRDefault="00200917" w:rsidP="005356C3">
            <w:r w:rsidRPr="005356C3">
              <w:t>If you are a Christian, what public areas of your life don’t align with the private areas of your life and vice versa?</w:t>
            </w:r>
          </w:p>
          <w:p w14:paraId="46E0EC59" w14:textId="77777777" w:rsidR="00200917" w:rsidRPr="005356C3" w:rsidRDefault="00200917" w:rsidP="005356C3"/>
        </w:tc>
      </w:tr>
    </w:tbl>
    <w:p w14:paraId="1FE261C7"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5D95C0EE" w14:textId="77777777">
        <w:tc>
          <w:tcPr>
            <w:tcW w:w="8640" w:type="dxa"/>
            <w:tcBorders>
              <w:top w:val="nil"/>
              <w:left w:val="nil"/>
              <w:bottom w:val="nil"/>
              <w:right w:val="nil"/>
            </w:tcBorders>
          </w:tcPr>
          <w:p w14:paraId="1F1D791B" w14:textId="77777777" w:rsidR="005356C3" w:rsidRPr="001A488D" w:rsidRDefault="005356C3" w:rsidP="005356C3">
            <w:pPr>
              <w:rPr>
                <w:b/>
                <w:bCs/>
                <w:sz w:val="22"/>
                <w:szCs w:val="22"/>
              </w:rPr>
            </w:pPr>
            <w:r w:rsidRPr="001A488D">
              <w:rPr>
                <w:b/>
                <w:bCs/>
                <w:sz w:val="22"/>
                <w:szCs w:val="22"/>
              </w:rPr>
              <w:lastRenderedPageBreak/>
              <w:t>QUESTION</w:t>
            </w:r>
          </w:p>
          <w:p w14:paraId="7FFB0FB0" w14:textId="57AF040D" w:rsidR="00200917" w:rsidRPr="005356C3" w:rsidRDefault="00200917" w:rsidP="005356C3">
            <w:r w:rsidRPr="005356C3">
              <w:t>What are some practical ways you can live out your faith publicly in a way that creates goodwill from unbelievers?</w:t>
            </w:r>
          </w:p>
        </w:tc>
      </w:tr>
    </w:tbl>
    <w:p w14:paraId="55175D2D" w14:textId="77777777" w:rsidR="00200917" w:rsidRPr="005356C3" w:rsidRDefault="00200917" w:rsidP="005356C3"/>
    <w:tbl>
      <w:tblPr>
        <w:tblW w:w="0" w:type="auto"/>
        <w:tblLayout w:type="fixed"/>
        <w:tblCellMar>
          <w:left w:w="0" w:type="dxa"/>
          <w:right w:w="0" w:type="dxa"/>
        </w:tblCellMar>
        <w:tblLook w:val="0000" w:firstRow="0" w:lastRow="0" w:firstColumn="0" w:lastColumn="0" w:noHBand="0" w:noVBand="0"/>
      </w:tblPr>
      <w:tblGrid>
        <w:gridCol w:w="8640"/>
      </w:tblGrid>
      <w:tr w:rsidR="00200917" w:rsidRPr="005356C3" w14:paraId="75883AEF" w14:textId="77777777">
        <w:tc>
          <w:tcPr>
            <w:tcW w:w="8640" w:type="dxa"/>
            <w:tcBorders>
              <w:top w:val="nil"/>
              <w:left w:val="nil"/>
              <w:bottom w:val="nil"/>
              <w:right w:val="nil"/>
            </w:tcBorders>
          </w:tcPr>
          <w:p w14:paraId="17BCB6FC" w14:textId="77777777" w:rsidR="005356C3" w:rsidRPr="001A488D" w:rsidRDefault="005356C3" w:rsidP="005356C3">
            <w:pPr>
              <w:rPr>
                <w:b/>
                <w:bCs/>
                <w:sz w:val="22"/>
                <w:szCs w:val="22"/>
              </w:rPr>
            </w:pPr>
            <w:r w:rsidRPr="001A488D">
              <w:rPr>
                <w:b/>
                <w:bCs/>
                <w:sz w:val="22"/>
                <w:szCs w:val="22"/>
              </w:rPr>
              <w:t>QUESTION</w:t>
            </w:r>
          </w:p>
          <w:p w14:paraId="5B6CBC7F" w14:textId="1534E674" w:rsidR="00200917" w:rsidRPr="005356C3" w:rsidRDefault="00200917" w:rsidP="005356C3">
            <w:r w:rsidRPr="005356C3">
              <w:t>Think of someone who you would love to see join you at church. Pray for that person by name. Look for an opportunity to invite them into your life and then eventually to your church.</w:t>
            </w:r>
          </w:p>
        </w:tc>
      </w:tr>
    </w:tbl>
    <w:p w14:paraId="5CCDC752" w14:textId="77777777" w:rsidR="00200917" w:rsidRDefault="00200917">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200917" w14:paraId="5885A477" w14:textId="77777777">
        <w:tc>
          <w:tcPr>
            <w:tcW w:w="8640" w:type="dxa"/>
            <w:tcBorders>
              <w:top w:val="nil"/>
              <w:left w:val="nil"/>
              <w:bottom w:val="nil"/>
              <w:right w:val="nil"/>
            </w:tcBorders>
          </w:tcPr>
          <w:p w14:paraId="3944C48E" w14:textId="77777777" w:rsidR="005356C3" w:rsidRDefault="005356C3" w:rsidP="005356C3"/>
          <w:p w14:paraId="74396286" w14:textId="1E35562D" w:rsidR="00200917" w:rsidRDefault="00200917" w:rsidP="005356C3">
            <w:r w:rsidRPr="005356C3">
              <w:t>Note any requests from the group and remember to pray for them during the week.</w:t>
            </w:r>
          </w:p>
        </w:tc>
      </w:tr>
    </w:tbl>
    <w:p w14:paraId="0D4A3785" w14:textId="703B51DE" w:rsidR="00200917" w:rsidRDefault="00200917">
      <w:pPr>
        <w:spacing w:before="180"/>
        <w:jc w:val="both"/>
      </w:pPr>
      <w:r>
        <w:t>Before next time, continue to listen with the personal devotions.</w:t>
      </w:r>
    </w:p>
    <w:p w14:paraId="7340A9D4" w14:textId="77777777" w:rsidR="00200917" w:rsidRDefault="00200917">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200917" w14:paraId="0E1E66DA" w14:textId="77777777" w:rsidTr="000A43EA">
        <w:trPr>
          <w:trHeight w:val="81"/>
        </w:trPr>
        <w:tc>
          <w:tcPr>
            <w:tcW w:w="8640" w:type="dxa"/>
            <w:tcBorders>
              <w:top w:val="nil"/>
              <w:left w:val="nil"/>
              <w:bottom w:val="nil"/>
              <w:right w:val="nil"/>
            </w:tcBorders>
          </w:tcPr>
          <w:p w14:paraId="31B7B866" w14:textId="43F81C3C" w:rsidR="00747057" w:rsidRPr="00747057" w:rsidRDefault="00747057" w:rsidP="00747057">
            <w:pPr>
              <w:rPr>
                <w:rFonts w:eastAsia="Times New Roman" w:cs="Times New Roman"/>
                <w:i/>
                <w:iCs/>
                <w:sz w:val="21"/>
                <w:szCs w:val="21"/>
              </w:rPr>
            </w:pPr>
            <w:r w:rsidRPr="00747057">
              <w:rPr>
                <w:rFonts w:eastAsia="Times New Roman" w:cs="Times New Roman"/>
                <w:i/>
                <w:iCs/>
                <w:sz w:val="21"/>
                <w:szCs w:val="21"/>
              </w:rPr>
              <w:t xml:space="preserve">About twenty years after the last apostle died, a nonbeliever wrote a letter to attempt to explain Christianity to a fellow nonbeliever. This historical document is called The Epistle of </w:t>
            </w:r>
            <w:proofErr w:type="spellStart"/>
            <w:r w:rsidRPr="00747057">
              <w:rPr>
                <w:rFonts w:eastAsia="Times New Roman" w:cs="Times New Roman"/>
                <w:i/>
                <w:iCs/>
                <w:sz w:val="21"/>
                <w:szCs w:val="21"/>
              </w:rPr>
              <w:t>Mathetes</w:t>
            </w:r>
            <w:proofErr w:type="spellEnd"/>
            <w:r w:rsidRPr="00747057">
              <w:rPr>
                <w:rFonts w:eastAsia="Times New Roman" w:cs="Times New Roman"/>
                <w:i/>
                <w:iCs/>
                <w:sz w:val="21"/>
                <w:szCs w:val="21"/>
              </w:rPr>
              <w:t xml:space="preserve"> to </w:t>
            </w:r>
            <w:proofErr w:type="spellStart"/>
            <w:r w:rsidRPr="00747057">
              <w:rPr>
                <w:rFonts w:eastAsia="Times New Roman" w:cs="Times New Roman"/>
                <w:i/>
                <w:iCs/>
                <w:sz w:val="21"/>
                <w:szCs w:val="21"/>
              </w:rPr>
              <w:t>Diognetus</w:t>
            </w:r>
            <w:proofErr w:type="spellEnd"/>
            <w:r w:rsidRPr="00747057">
              <w:rPr>
                <w:rFonts w:eastAsia="Times New Roman" w:cs="Times New Roman"/>
                <w:i/>
                <w:iCs/>
                <w:sz w:val="21"/>
                <w:szCs w:val="21"/>
              </w:rPr>
              <w:t xml:space="preserve">. Notice how the description in this excerpt reinforces what is recorded in </w:t>
            </w:r>
            <w:r w:rsidRPr="00433836">
              <w:rPr>
                <w:rFonts w:eastAsia="Times New Roman" w:cs="Times New Roman"/>
                <w:i/>
                <w:iCs/>
                <w:sz w:val="21"/>
                <w:szCs w:val="21"/>
              </w:rPr>
              <w:t>Acts 2:43–47</w:t>
            </w:r>
            <w:r w:rsidRPr="00747057">
              <w:rPr>
                <w:rFonts w:eastAsia="Times New Roman" w:cs="Times New Roman"/>
                <w:i/>
                <w:iCs/>
                <w:sz w:val="21"/>
                <w:szCs w:val="21"/>
              </w:rPr>
              <w:t>:</w:t>
            </w:r>
          </w:p>
          <w:p w14:paraId="7029F832" w14:textId="77777777" w:rsidR="00747057" w:rsidRPr="00747057" w:rsidRDefault="00747057" w:rsidP="00747057">
            <w:pPr>
              <w:rPr>
                <w:rFonts w:eastAsia="Times New Roman" w:cs="Times New Roman"/>
                <w:i/>
                <w:iCs/>
                <w:sz w:val="21"/>
                <w:szCs w:val="21"/>
              </w:rPr>
            </w:pPr>
          </w:p>
          <w:p w14:paraId="15237986" w14:textId="2471A425" w:rsidR="00747057" w:rsidRPr="00747057" w:rsidRDefault="00747057" w:rsidP="006D7D0A">
            <w:pPr>
              <w:ind w:left="720"/>
              <w:rPr>
                <w:rFonts w:eastAsia="Times New Roman" w:cs="Times New Roman"/>
                <w:i/>
                <w:iCs/>
                <w:sz w:val="21"/>
                <w:szCs w:val="21"/>
              </w:rPr>
            </w:pPr>
            <w:r w:rsidRPr="00747057">
              <w:rPr>
                <w:rFonts w:eastAsia="Times New Roman" w:cs="Times New Roman"/>
                <w:i/>
                <w:iCs/>
                <w:sz w:val="21"/>
                <w:szCs w:val="21"/>
              </w:rPr>
              <w:t xml:space="preserve">They dwell in their own countries, but simply as sojourners. As citizens, they share in all things with others, and yet endure all things as if foreigners. Every foreign land is to them as their native country, and every land of their birth as a land of strangers. They marry, as do all [others]; they beget children; but they do not destroy their offspring. They have a common table, but not a common bed. They are in the flesh, but they do not live after the flesh. They pass their days on earth, but they are citizens of heaven. They obey the prescribed laws, and at the same time surpass the laws by their lives. They love all men, and are persecuted by all. They are unknown and condemned; they are put to death, and restored to life. They are poor, yet make many rich; they </w:t>
            </w:r>
            <w:proofErr w:type="gramStart"/>
            <w:r w:rsidRPr="00747057">
              <w:rPr>
                <w:rFonts w:eastAsia="Times New Roman" w:cs="Times New Roman"/>
                <w:i/>
                <w:iCs/>
                <w:sz w:val="21"/>
                <w:szCs w:val="21"/>
              </w:rPr>
              <w:t>are in lack of</w:t>
            </w:r>
            <w:proofErr w:type="gramEnd"/>
            <w:r w:rsidRPr="00747057">
              <w:rPr>
                <w:rFonts w:eastAsia="Times New Roman" w:cs="Times New Roman"/>
                <w:i/>
                <w:iCs/>
                <w:sz w:val="21"/>
                <w:szCs w:val="21"/>
              </w:rPr>
              <w:t xml:space="preserve"> all things, and yet abound in all; they are </w:t>
            </w:r>
            <w:proofErr w:type="spellStart"/>
            <w:r w:rsidRPr="00747057">
              <w:rPr>
                <w:rFonts w:eastAsia="Times New Roman" w:cs="Times New Roman"/>
                <w:i/>
                <w:iCs/>
                <w:sz w:val="21"/>
                <w:szCs w:val="21"/>
              </w:rPr>
              <w:t>dishonoured</w:t>
            </w:r>
            <w:proofErr w:type="spellEnd"/>
            <w:r w:rsidRPr="00747057">
              <w:rPr>
                <w:rFonts w:eastAsia="Times New Roman" w:cs="Times New Roman"/>
                <w:i/>
                <w:iCs/>
                <w:sz w:val="21"/>
                <w:szCs w:val="21"/>
              </w:rPr>
              <w:t xml:space="preserve">, and yet in their very </w:t>
            </w:r>
            <w:proofErr w:type="spellStart"/>
            <w:r w:rsidRPr="00747057">
              <w:rPr>
                <w:rFonts w:eastAsia="Times New Roman" w:cs="Times New Roman"/>
                <w:i/>
                <w:iCs/>
                <w:sz w:val="21"/>
                <w:szCs w:val="21"/>
              </w:rPr>
              <w:t>dishonour</w:t>
            </w:r>
            <w:proofErr w:type="spellEnd"/>
            <w:r w:rsidRPr="00747057">
              <w:rPr>
                <w:rFonts w:eastAsia="Times New Roman" w:cs="Times New Roman"/>
                <w:i/>
                <w:iCs/>
                <w:sz w:val="21"/>
                <w:szCs w:val="21"/>
              </w:rPr>
              <w:t xml:space="preserve"> are glorified. They are evil spoken of, and yet are justified; they are reviled, and bless; they are insulted, and repay the insult with </w:t>
            </w:r>
            <w:proofErr w:type="spellStart"/>
            <w:r w:rsidRPr="00747057">
              <w:rPr>
                <w:rFonts w:eastAsia="Times New Roman" w:cs="Times New Roman"/>
                <w:i/>
                <w:iCs/>
                <w:sz w:val="21"/>
                <w:szCs w:val="21"/>
              </w:rPr>
              <w:t>honour</w:t>
            </w:r>
            <w:proofErr w:type="spellEnd"/>
            <w:r w:rsidRPr="00747057">
              <w:rPr>
                <w:rFonts w:eastAsia="Times New Roman" w:cs="Times New Roman"/>
                <w:i/>
                <w:iCs/>
                <w:sz w:val="21"/>
                <w:szCs w:val="21"/>
              </w:rPr>
              <w:t>;</w:t>
            </w:r>
            <w:r w:rsidR="006D7D0A">
              <w:rPr>
                <w:rFonts w:eastAsia="Times New Roman" w:cs="Times New Roman"/>
                <w:i/>
                <w:iCs/>
                <w:sz w:val="21"/>
                <w:szCs w:val="21"/>
              </w:rPr>
              <w:t xml:space="preserve"> </w:t>
            </w:r>
            <w:r w:rsidRPr="00747057">
              <w:rPr>
                <w:rFonts w:eastAsia="Times New Roman" w:cs="Times New Roman"/>
                <w:i/>
                <w:iCs/>
                <w:sz w:val="21"/>
                <w:szCs w:val="21"/>
              </w:rPr>
              <w:t xml:space="preserve"> they do good, yet are punished as </w:t>
            </w:r>
            <w:proofErr w:type="gramStart"/>
            <w:r w:rsidRPr="00747057">
              <w:rPr>
                <w:rFonts w:eastAsia="Times New Roman" w:cs="Times New Roman"/>
                <w:i/>
                <w:iCs/>
                <w:sz w:val="21"/>
                <w:szCs w:val="21"/>
              </w:rPr>
              <w:t>evil–doers</w:t>
            </w:r>
            <w:proofErr w:type="gramEnd"/>
            <w:r w:rsidRPr="00747057">
              <w:rPr>
                <w:rFonts w:eastAsia="Times New Roman" w:cs="Times New Roman"/>
                <w:i/>
                <w:iCs/>
                <w:sz w:val="21"/>
                <w:szCs w:val="21"/>
              </w:rPr>
              <w:t>. When punished, they rejoice as if quickened into life; they are assailed by the Jews as foreigners and are persecuted by the Greeks; yet those who hate them are unable to assign any reason for their hatred.</w:t>
            </w:r>
            <w:proofErr w:type="gramStart"/>
            <w:r w:rsidRPr="00747057">
              <w:rPr>
                <w:rFonts w:eastAsia="Times New Roman" w:cs="Times New Roman"/>
                <w:i/>
                <w:iCs/>
                <w:sz w:val="21"/>
                <w:szCs w:val="21"/>
                <w:vertAlign w:val="superscript"/>
              </w:rPr>
              <w:t>1</w:t>
            </w:r>
            <w:proofErr w:type="gramEnd"/>
          </w:p>
          <w:p w14:paraId="0CF9B7C4" w14:textId="77777777" w:rsidR="00747057" w:rsidRPr="00747057" w:rsidRDefault="00747057" w:rsidP="00747057">
            <w:pPr>
              <w:rPr>
                <w:rFonts w:eastAsia="Times New Roman" w:cs="Times New Roman"/>
                <w:i/>
                <w:iCs/>
                <w:sz w:val="16"/>
                <w:szCs w:val="16"/>
              </w:rPr>
            </w:pPr>
          </w:p>
          <w:p w14:paraId="6DA2803C" w14:textId="630B8283" w:rsidR="00200917" w:rsidRDefault="00747057" w:rsidP="00747057">
            <w:r w:rsidRPr="00747057">
              <w:rPr>
                <w:rFonts w:eastAsia="Times New Roman" w:cs="Times New Roman"/>
                <w:i/>
                <w:iCs/>
                <w:sz w:val="18"/>
                <w:szCs w:val="18"/>
              </w:rPr>
              <w:t xml:space="preserve">The Epistle of </w:t>
            </w:r>
            <w:proofErr w:type="spellStart"/>
            <w:r w:rsidRPr="00747057">
              <w:rPr>
                <w:rFonts w:eastAsia="Times New Roman" w:cs="Times New Roman"/>
                <w:i/>
                <w:iCs/>
                <w:sz w:val="18"/>
                <w:szCs w:val="18"/>
              </w:rPr>
              <w:t>Mathetes</w:t>
            </w:r>
            <w:proofErr w:type="spellEnd"/>
            <w:r w:rsidRPr="00747057">
              <w:rPr>
                <w:rFonts w:eastAsia="Times New Roman" w:cs="Times New Roman"/>
                <w:i/>
                <w:iCs/>
                <w:sz w:val="18"/>
                <w:szCs w:val="18"/>
              </w:rPr>
              <w:t xml:space="preserve"> to </w:t>
            </w:r>
            <w:proofErr w:type="spellStart"/>
            <w:r w:rsidRPr="00747057">
              <w:rPr>
                <w:rFonts w:eastAsia="Times New Roman" w:cs="Times New Roman"/>
                <w:i/>
                <w:iCs/>
                <w:sz w:val="18"/>
                <w:szCs w:val="18"/>
              </w:rPr>
              <w:t>Diognetus</w:t>
            </w:r>
            <w:proofErr w:type="spellEnd"/>
            <w:r w:rsidRPr="00747057">
              <w:rPr>
                <w:rFonts w:eastAsia="Times New Roman" w:cs="Times New Roman"/>
                <w:i/>
                <w:iCs/>
                <w:sz w:val="18"/>
                <w:szCs w:val="18"/>
              </w:rPr>
              <w:t xml:space="preserve">. You can read the entire letter here: </w:t>
            </w:r>
            <w:r w:rsidRPr="00747057">
              <w:rPr>
                <w:i/>
                <w:iCs/>
                <w:sz w:val="18"/>
                <w:szCs w:val="18"/>
              </w:rPr>
              <w:t>https://www.newadvent.org/fathers/0101.htm</w:t>
            </w:r>
            <w:r w:rsidRPr="00747057">
              <w:rPr>
                <w:rFonts w:eastAsia="Times New Roman" w:cs="Times New Roman"/>
                <w:i/>
                <w:iCs/>
                <w:sz w:val="16"/>
                <w:szCs w:val="16"/>
              </w:rPr>
              <w:t>.</w:t>
            </w:r>
            <w:r w:rsidRPr="00747057">
              <w:rPr>
                <w:sz w:val="16"/>
                <w:szCs w:val="16"/>
              </w:rPr>
              <w:t xml:space="preserve"> </w:t>
            </w:r>
          </w:p>
        </w:tc>
      </w:tr>
    </w:tbl>
    <w:p w14:paraId="3EC9BFA6" w14:textId="77777777" w:rsidR="000A43EA" w:rsidRDefault="000A43EA" w:rsidP="00C86B6C">
      <w:pPr>
        <w:rPr>
          <w:rFonts w:eastAsia="Times New Roman" w:cs="Times New Roman"/>
          <w:sz w:val="20"/>
          <w:szCs w:val="20"/>
          <w:vertAlign w:val="superscript"/>
        </w:rPr>
      </w:pPr>
      <w:r>
        <w:rPr>
          <w:b/>
          <w:sz w:val="48"/>
        </w:rPr>
        <w:br/>
      </w:r>
    </w:p>
    <w:p w14:paraId="08CAD4E6" w14:textId="68564069" w:rsidR="000A43EA" w:rsidRDefault="000A43EA" w:rsidP="00C86B6C">
      <w:pPr>
        <w:rPr>
          <w:rFonts w:eastAsia="Times New Roman" w:cs="Times New Roman"/>
          <w:sz w:val="20"/>
          <w:szCs w:val="20"/>
          <w:vertAlign w:val="superscript"/>
        </w:rPr>
      </w:pPr>
    </w:p>
    <w:p w14:paraId="0277026D" w14:textId="77777777" w:rsidR="006D7D0A" w:rsidRDefault="006D7D0A" w:rsidP="00C86B6C">
      <w:pPr>
        <w:rPr>
          <w:rFonts w:eastAsia="Times New Roman" w:cs="Times New Roman"/>
          <w:sz w:val="20"/>
          <w:szCs w:val="20"/>
          <w:vertAlign w:val="superscript"/>
        </w:rPr>
      </w:pPr>
    </w:p>
    <w:p w14:paraId="4FF1F993" w14:textId="110058CB" w:rsidR="000A43EA" w:rsidRDefault="000A43EA" w:rsidP="00C86B6C">
      <w:pPr>
        <w:rPr>
          <w:rFonts w:eastAsia="Times New Roman" w:cs="Times New Roman"/>
          <w:sz w:val="20"/>
          <w:szCs w:val="20"/>
          <w:vertAlign w:val="superscript"/>
        </w:rPr>
      </w:pPr>
    </w:p>
    <w:p w14:paraId="555B15CC" w14:textId="77777777" w:rsidR="000A43EA" w:rsidRDefault="000A43EA" w:rsidP="00C86B6C">
      <w:pPr>
        <w:rPr>
          <w:rFonts w:eastAsia="Times New Roman" w:cs="Times New Roman"/>
          <w:sz w:val="20"/>
          <w:szCs w:val="20"/>
          <w:vertAlign w:val="superscript"/>
        </w:rPr>
      </w:pPr>
    </w:p>
    <w:p w14:paraId="6CD5713D" w14:textId="47032E3C" w:rsidR="001F6F94" w:rsidRPr="00F335B2" w:rsidRDefault="00C86B6C" w:rsidP="00F335B2">
      <w:pPr>
        <w:rPr>
          <w:rFonts w:eastAsia="Times New Roman" w:cs="Times New Roman"/>
          <w:sz w:val="20"/>
          <w:szCs w:val="20"/>
        </w:rPr>
      </w:pPr>
      <w:r w:rsidRPr="009B1AB4">
        <w:rPr>
          <w:rFonts w:eastAsia="Times New Roman" w:cs="Times New Roman"/>
          <w:sz w:val="20"/>
          <w:szCs w:val="20"/>
          <w:vertAlign w:val="superscript"/>
        </w:rPr>
        <w:t>1</w:t>
      </w:r>
      <w:r w:rsidRPr="009B1AB4">
        <w:rPr>
          <w:rFonts w:eastAsia="Times New Roman" w:cs="Times New Roman"/>
          <w:sz w:val="20"/>
          <w:szCs w:val="20"/>
          <w:shd w:val="clear" w:color="auto" w:fill="FFFFFF"/>
        </w:rPr>
        <w:t xml:space="preserve">Alexander Roberts, James </w:t>
      </w:r>
      <w:proofErr w:type="gramStart"/>
      <w:r w:rsidRPr="009B1AB4">
        <w:rPr>
          <w:rFonts w:eastAsia="Times New Roman" w:cs="Times New Roman"/>
          <w:sz w:val="20"/>
          <w:szCs w:val="20"/>
          <w:shd w:val="clear" w:color="auto" w:fill="FFFFFF"/>
        </w:rPr>
        <w:t>Donaldson</w:t>
      </w:r>
      <w:proofErr w:type="gramEnd"/>
      <w:r w:rsidRPr="009B1AB4">
        <w:rPr>
          <w:rFonts w:eastAsia="Times New Roman" w:cs="Times New Roman"/>
          <w:sz w:val="20"/>
          <w:szCs w:val="20"/>
          <w:shd w:val="clear" w:color="auto" w:fill="FFFFFF"/>
        </w:rPr>
        <w:t xml:space="preserve"> and A. Cleveland </w:t>
      </w:r>
      <w:proofErr w:type="spellStart"/>
      <w:r w:rsidRPr="009B1AB4">
        <w:rPr>
          <w:rFonts w:eastAsia="Times New Roman" w:cs="Times New Roman"/>
          <w:sz w:val="20"/>
          <w:szCs w:val="20"/>
          <w:shd w:val="clear" w:color="auto" w:fill="FFFFFF"/>
        </w:rPr>
        <w:t>Coxe</w:t>
      </w:r>
      <w:proofErr w:type="spellEnd"/>
      <w:r w:rsidRPr="009B1AB4">
        <w:rPr>
          <w:rFonts w:eastAsia="Times New Roman" w:cs="Times New Roman"/>
          <w:sz w:val="20"/>
          <w:szCs w:val="20"/>
          <w:shd w:val="clear" w:color="auto" w:fill="FFFFFF"/>
        </w:rPr>
        <w:t xml:space="preserve">, eds. Alexander Roberts, and James Donaldson, translators. </w:t>
      </w:r>
      <w:r w:rsidRPr="009B1AB4">
        <w:rPr>
          <w:rFonts w:eastAsia="Times New Roman" w:cs="Times New Roman"/>
          <w:i/>
          <w:iCs/>
          <w:sz w:val="20"/>
          <w:szCs w:val="20"/>
          <w:u w:val="single"/>
          <w:shd w:val="clear" w:color="auto" w:fill="FFFFFF"/>
        </w:rPr>
        <w:t>Ante-Nicene Fathers</w:t>
      </w:r>
      <w:r w:rsidRPr="009B1AB4">
        <w:rPr>
          <w:rFonts w:eastAsia="Times New Roman" w:cs="Times New Roman"/>
          <w:i/>
          <w:iCs/>
          <w:sz w:val="20"/>
          <w:szCs w:val="20"/>
          <w:shd w:val="clear" w:color="auto" w:fill="FFFFFF"/>
        </w:rPr>
        <w:t>, Vol. 1.</w:t>
      </w:r>
      <w:r w:rsidRPr="009B1AB4">
        <w:rPr>
          <w:rFonts w:eastAsia="Times New Roman" w:cs="Times New Roman"/>
          <w:sz w:val="20"/>
          <w:szCs w:val="20"/>
          <w:shd w:val="clear" w:color="auto" w:fill="FFFFFF"/>
        </w:rPr>
        <w:t> (Buffalo, NY: Christian Literature Publishing Co., 1885.) Revised and edited for New Advent by Kevin Knight. &lt;http://www.newadvent.org/fathers/0101.htm&gt;. Accessed December 17, 2020.</w:t>
      </w:r>
    </w:p>
    <w:sectPr w:rsidR="001F6F94" w:rsidRPr="00F335B2" w:rsidSect="00D82C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6EB0" w14:textId="77777777" w:rsidR="00BA437B" w:rsidRDefault="00BA437B">
      <w:r>
        <w:separator/>
      </w:r>
    </w:p>
  </w:endnote>
  <w:endnote w:type="continuationSeparator" w:id="0">
    <w:p w14:paraId="3C0E8751" w14:textId="77777777" w:rsidR="00BA437B" w:rsidRDefault="00BA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9F31" w14:textId="5A0D325E" w:rsidR="00DD2E9A" w:rsidRPr="00B73ED7" w:rsidRDefault="00DD2E9A" w:rsidP="00DD2E9A">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4A3761">
      <w:rPr>
        <w:rFonts w:ascii="Calibri" w:eastAsia="Times New Roman" w:hAnsi="Calibri" w:cs="Calibri"/>
        <w:color w:val="212121"/>
        <w:sz w:val="16"/>
        <w:szCs w:val="16"/>
      </w:rPr>
      <w:t>2020</w:t>
    </w:r>
    <w:r w:rsidR="004A3761"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D37165C" w14:textId="77777777" w:rsidR="00DD2E9A" w:rsidRPr="00B73ED7" w:rsidRDefault="00DD2E9A" w:rsidP="00DD2E9A">
    <w:pPr>
      <w:rPr>
        <w:rFonts w:ascii="Calibri" w:eastAsia="Times New Roman" w:hAnsi="Calibri" w:cs="Calibri"/>
        <w:color w:val="212121"/>
      </w:rPr>
    </w:pPr>
    <w:r w:rsidRPr="00B73ED7">
      <w:rPr>
        <w:rFonts w:ascii="Calibri" w:eastAsia="Times New Roman" w:hAnsi="Calibri" w:cs="Calibri"/>
        <w:color w:val="212121"/>
        <w:sz w:val="16"/>
        <w:szCs w:val="16"/>
      </w:rPr>
      <w:t> </w:t>
    </w:r>
  </w:p>
  <w:p w14:paraId="498F365A" w14:textId="02E2A2C3" w:rsidR="00843FD1" w:rsidRPr="00DD2E9A" w:rsidRDefault="00DD2E9A" w:rsidP="00DD2E9A">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27F4" w14:textId="77777777" w:rsidR="00BA437B" w:rsidRDefault="00BA437B">
      <w:r>
        <w:separator/>
      </w:r>
    </w:p>
  </w:footnote>
  <w:footnote w:type="continuationSeparator" w:id="0">
    <w:p w14:paraId="4CC3FEC9" w14:textId="77777777" w:rsidR="00BA437B" w:rsidRDefault="00BA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17"/>
    <w:rsid w:val="000A43EA"/>
    <w:rsid w:val="000C74AF"/>
    <w:rsid w:val="000D0BF0"/>
    <w:rsid w:val="000E5968"/>
    <w:rsid w:val="00101CD2"/>
    <w:rsid w:val="001A358F"/>
    <w:rsid w:val="00200917"/>
    <w:rsid w:val="002F00A4"/>
    <w:rsid w:val="00425A8E"/>
    <w:rsid w:val="00433836"/>
    <w:rsid w:val="00450B11"/>
    <w:rsid w:val="004632F2"/>
    <w:rsid w:val="004A3761"/>
    <w:rsid w:val="004C7306"/>
    <w:rsid w:val="00522537"/>
    <w:rsid w:val="005356C3"/>
    <w:rsid w:val="00564057"/>
    <w:rsid w:val="005861F2"/>
    <w:rsid w:val="005A6B58"/>
    <w:rsid w:val="00642AA1"/>
    <w:rsid w:val="006D7D0A"/>
    <w:rsid w:val="00712DEE"/>
    <w:rsid w:val="0072614E"/>
    <w:rsid w:val="00747057"/>
    <w:rsid w:val="00761A78"/>
    <w:rsid w:val="00843FD1"/>
    <w:rsid w:val="00844937"/>
    <w:rsid w:val="00A0296C"/>
    <w:rsid w:val="00A05045"/>
    <w:rsid w:val="00BA437B"/>
    <w:rsid w:val="00BC367B"/>
    <w:rsid w:val="00C86B6C"/>
    <w:rsid w:val="00D364D9"/>
    <w:rsid w:val="00D81C9C"/>
    <w:rsid w:val="00DA1293"/>
    <w:rsid w:val="00DD2E9A"/>
    <w:rsid w:val="00F049FB"/>
    <w:rsid w:val="00F1632B"/>
    <w:rsid w:val="00F335B2"/>
    <w:rsid w:val="00F47EA2"/>
    <w:rsid w:val="00FA69AA"/>
    <w:rsid w:val="00FC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4B0160"/>
  <w15:chartTrackingRefBased/>
  <w15:docId w15:val="{5716D559-1688-D644-85D7-B88FE28C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6C3"/>
    <w:pPr>
      <w:tabs>
        <w:tab w:val="center" w:pos="4680"/>
        <w:tab w:val="right" w:pos="9360"/>
      </w:tabs>
    </w:pPr>
  </w:style>
  <w:style w:type="character" w:customStyle="1" w:styleId="HeaderChar">
    <w:name w:val="Header Char"/>
    <w:basedOn w:val="DefaultParagraphFont"/>
    <w:link w:val="Header"/>
    <w:uiPriority w:val="99"/>
    <w:rsid w:val="005356C3"/>
  </w:style>
  <w:style w:type="paragraph" w:styleId="Footer">
    <w:name w:val="footer"/>
    <w:basedOn w:val="Normal"/>
    <w:link w:val="FooterChar"/>
    <w:uiPriority w:val="99"/>
    <w:unhideWhenUsed/>
    <w:rsid w:val="005356C3"/>
    <w:pPr>
      <w:tabs>
        <w:tab w:val="center" w:pos="4680"/>
        <w:tab w:val="right" w:pos="9360"/>
      </w:tabs>
    </w:pPr>
  </w:style>
  <w:style w:type="character" w:customStyle="1" w:styleId="FooterChar">
    <w:name w:val="Footer Char"/>
    <w:basedOn w:val="DefaultParagraphFont"/>
    <w:link w:val="Footer"/>
    <w:uiPriority w:val="99"/>
    <w:rsid w:val="005356C3"/>
  </w:style>
  <w:style w:type="character" w:styleId="Hyperlink">
    <w:name w:val="Hyperlink"/>
    <w:basedOn w:val="DefaultParagraphFont"/>
    <w:uiPriority w:val="99"/>
    <w:unhideWhenUsed/>
    <w:rsid w:val="005356C3"/>
    <w:rPr>
      <w:color w:val="0563C1" w:themeColor="hyperlink"/>
      <w:u w:val="single"/>
    </w:rPr>
  </w:style>
  <w:style w:type="character" w:styleId="UnresolvedMention">
    <w:name w:val="Unresolved Mention"/>
    <w:basedOn w:val="DefaultParagraphFont"/>
    <w:uiPriority w:val="99"/>
    <w:semiHidden/>
    <w:unhideWhenUsed/>
    <w:rsid w:val="00C86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22</cp:revision>
  <dcterms:created xsi:type="dcterms:W3CDTF">2021-06-24T02:35:00Z</dcterms:created>
  <dcterms:modified xsi:type="dcterms:W3CDTF">2023-07-09T01:40:00Z</dcterms:modified>
</cp:coreProperties>
</file>