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C85B" w14:textId="523C2730" w:rsidR="00E4018E" w:rsidRPr="00E4018E" w:rsidRDefault="00E4018E" w:rsidP="00E4018E">
      <w:pPr>
        <w:rPr>
          <w:b/>
          <w:bCs/>
          <w:sz w:val="28"/>
          <w:szCs w:val="28"/>
        </w:rPr>
      </w:pPr>
      <w:r w:rsidRPr="00E4018E">
        <w:rPr>
          <w:b/>
          <w:bCs/>
          <w:sz w:val="28"/>
          <w:szCs w:val="28"/>
        </w:rPr>
        <w:t xml:space="preserve">Study Questions for </w:t>
      </w:r>
      <w:r w:rsidRPr="00E4018E">
        <w:rPr>
          <w:b/>
          <w:bCs/>
          <w:sz w:val="28"/>
          <w:szCs w:val="28"/>
        </w:rPr>
        <w:t>Matthew 6:19–34</w:t>
      </w:r>
    </w:p>
    <w:p w14:paraId="0ADC902D" w14:textId="7420B4BD" w:rsidR="00E4018E" w:rsidRPr="00E4018E" w:rsidRDefault="00E4018E" w:rsidP="00E4018E">
      <w:pPr>
        <w:rPr>
          <w:sz w:val="22"/>
          <w:szCs w:val="22"/>
        </w:rPr>
      </w:pPr>
      <w:r w:rsidRPr="00E4018E">
        <w:rPr>
          <w:sz w:val="22"/>
          <w:szCs w:val="22"/>
        </w:rPr>
        <w:t xml:space="preserve">Matthew 6:19–34 invites believers to move from </w:t>
      </w:r>
      <w:r w:rsidRPr="00E4018E">
        <w:rPr>
          <w:b/>
          <w:bCs/>
          <w:sz w:val="22"/>
          <w:szCs w:val="22"/>
        </w:rPr>
        <w:t>anxiety to trust</w:t>
      </w:r>
      <w:r w:rsidRPr="00E4018E">
        <w:rPr>
          <w:sz w:val="22"/>
          <w:szCs w:val="22"/>
        </w:rPr>
        <w:t xml:space="preserve">, from </w:t>
      </w:r>
      <w:r w:rsidRPr="00E4018E">
        <w:rPr>
          <w:b/>
          <w:bCs/>
          <w:sz w:val="22"/>
          <w:szCs w:val="22"/>
        </w:rPr>
        <w:t>control to dependence</w:t>
      </w:r>
      <w:r w:rsidRPr="00E4018E">
        <w:rPr>
          <w:sz w:val="22"/>
          <w:szCs w:val="22"/>
        </w:rPr>
        <w:t xml:space="preserve">, and from </w:t>
      </w:r>
      <w:r w:rsidRPr="00E4018E">
        <w:rPr>
          <w:b/>
          <w:bCs/>
          <w:sz w:val="22"/>
          <w:szCs w:val="22"/>
        </w:rPr>
        <w:t>temporary security to eternal confidence</w:t>
      </w:r>
      <w:r w:rsidRPr="00E4018E">
        <w:rPr>
          <w:sz w:val="22"/>
          <w:szCs w:val="22"/>
        </w:rPr>
        <w:t>. The passage does not deny real needs but reframes how those needs are met—through a faithful Father rather than fearful striving.</w:t>
      </w:r>
    </w:p>
    <w:p w14:paraId="4B049AC2" w14:textId="77777777" w:rsidR="002B6F25" w:rsidRPr="002B6F25" w:rsidRDefault="002B6F25" w:rsidP="002B6F25">
      <w:pPr>
        <w:rPr>
          <w:b/>
          <w:bCs/>
          <w:sz w:val="22"/>
          <w:szCs w:val="22"/>
        </w:rPr>
      </w:pPr>
      <w:r w:rsidRPr="002B6F25">
        <w:rPr>
          <w:b/>
          <w:bCs/>
          <w:sz w:val="22"/>
          <w:szCs w:val="22"/>
        </w:rPr>
        <w:t xml:space="preserve">1. What contrast does </w:t>
      </w:r>
      <w:proofErr w:type="gramStart"/>
      <w:r w:rsidRPr="002B6F25">
        <w:rPr>
          <w:b/>
          <w:bCs/>
          <w:sz w:val="22"/>
          <w:szCs w:val="22"/>
        </w:rPr>
        <w:t>Jesus</w:t>
      </w:r>
      <w:proofErr w:type="gramEnd"/>
      <w:r w:rsidRPr="002B6F25">
        <w:rPr>
          <w:b/>
          <w:bCs/>
          <w:sz w:val="22"/>
          <w:szCs w:val="22"/>
        </w:rPr>
        <w:t xml:space="preserve"> draw between earthly treasures and heavenly treasures, and why does it matter for daily life?</w:t>
      </w:r>
    </w:p>
    <w:p w14:paraId="0AB1F459"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6:19–21</w:t>
      </w:r>
    </w:p>
    <w:p w14:paraId="67F7B513" w14:textId="133F07F3" w:rsidR="002B6F25" w:rsidRPr="002B6F25" w:rsidRDefault="002B6F25" w:rsidP="002B6F25">
      <w:pPr>
        <w:rPr>
          <w:sz w:val="22"/>
          <w:szCs w:val="22"/>
        </w:rPr>
      </w:pPr>
      <w:r w:rsidRPr="002B6F25">
        <w:rPr>
          <w:sz w:val="22"/>
          <w:szCs w:val="22"/>
        </w:rPr>
        <w:t xml:space="preserve">Jesus contrasts treasures that belong to the </w:t>
      </w:r>
      <w:r w:rsidRPr="002B6F25">
        <w:rPr>
          <w:b/>
          <w:bCs/>
          <w:sz w:val="22"/>
          <w:szCs w:val="22"/>
        </w:rPr>
        <w:t>present, fallen order</w:t>
      </w:r>
      <w:r w:rsidRPr="002B6F25">
        <w:rPr>
          <w:sz w:val="22"/>
          <w:szCs w:val="22"/>
        </w:rPr>
        <w:t xml:space="preserve"> with treasures that belong to God’s eternal kingdom. Earthly treasures are subject to decay and loss because they exist within a world marked by impermanence (Genesis 3:17–19). Heavenly treasure, by contrast, reflects investment in God’s purposes and aligns the believer with what God values eternally. Jesus teaches that treasure is not morally neutral—it shapes desire, loyalty, and ultimately worship. In daily life, this challenges believers to recognize that spiritual formation happens not only through belief but through where they consistently invest their lives (Colossians 3:1–3).</w:t>
      </w:r>
    </w:p>
    <w:p w14:paraId="53BCF6CB" w14:textId="77777777" w:rsidR="002B6F25" w:rsidRPr="002B6F25" w:rsidRDefault="002B6F25" w:rsidP="002B6F25">
      <w:pPr>
        <w:rPr>
          <w:b/>
          <w:bCs/>
          <w:sz w:val="22"/>
          <w:szCs w:val="22"/>
        </w:rPr>
      </w:pPr>
      <w:r w:rsidRPr="002B6F25">
        <w:rPr>
          <w:b/>
          <w:bCs/>
          <w:sz w:val="22"/>
          <w:szCs w:val="22"/>
        </w:rPr>
        <w:t>2. How does Jesus connect what we treasure with the condition of our hearts?</w:t>
      </w:r>
    </w:p>
    <w:p w14:paraId="1354BC51"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6:21</w:t>
      </w:r>
    </w:p>
    <w:p w14:paraId="34C9187D" w14:textId="311BD3FF" w:rsidR="002B6F25" w:rsidRPr="002B6F25" w:rsidRDefault="002B6F25" w:rsidP="002B6F25">
      <w:pPr>
        <w:rPr>
          <w:sz w:val="22"/>
          <w:szCs w:val="22"/>
        </w:rPr>
      </w:pPr>
      <w:r w:rsidRPr="002B6F25">
        <w:rPr>
          <w:sz w:val="22"/>
          <w:szCs w:val="22"/>
        </w:rPr>
        <w:t xml:space="preserve">Jesus assumes a biblical understanding of the heart as the center of will, affection, and commitment. Rather than the heart directing treasure, Jesus teaches that treasure </w:t>
      </w:r>
      <w:r w:rsidRPr="002B6F25">
        <w:rPr>
          <w:i/>
          <w:iCs/>
          <w:sz w:val="22"/>
          <w:szCs w:val="22"/>
        </w:rPr>
        <w:t>forms</w:t>
      </w:r>
      <w:r w:rsidRPr="002B6F25">
        <w:rPr>
          <w:sz w:val="22"/>
          <w:szCs w:val="22"/>
        </w:rPr>
        <w:t xml:space="preserve"> the heart. This reflects the broader scriptural view that humans are shaped by what they love and serve (Psalm 115:4–8). In practical terms, repeated patterns of investment—time, money, attention—gradually orient the heart toward either God or substitutes for God. This calls believers to intentional alignment between professed faith and lived priorities.</w:t>
      </w:r>
    </w:p>
    <w:p w14:paraId="73A30071" w14:textId="77777777" w:rsidR="002B6F25" w:rsidRPr="002B6F25" w:rsidRDefault="002B6F25" w:rsidP="002B6F25">
      <w:pPr>
        <w:rPr>
          <w:b/>
          <w:bCs/>
          <w:sz w:val="22"/>
          <w:szCs w:val="22"/>
        </w:rPr>
      </w:pPr>
      <w:r w:rsidRPr="002B6F25">
        <w:rPr>
          <w:b/>
          <w:bCs/>
          <w:sz w:val="22"/>
          <w:szCs w:val="22"/>
        </w:rPr>
        <w:t>3. What does Jesus mean by the “lamp of the body,” and how does this apply to focus and perspective?</w:t>
      </w:r>
    </w:p>
    <w:p w14:paraId="4F54D5ED"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6:22–23</w:t>
      </w:r>
    </w:p>
    <w:p w14:paraId="049FCE13" w14:textId="67762044" w:rsidR="002B6F25" w:rsidRPr="002B6F25" w:rsidRDefault="002B6F25" w:rsidP="002B6F25">
      <w:pPr>
        <w:rPr>
          <w:sz w:val="22"/>
          <w:szCs w:val="22"/>
        </w:rPr>
      </w:pPr>
      <w:r w:rsidRPr="002B6F25">
        <w:rPr>
          <w:sz w:val="22"/>
          <w:szCs w:val="22"/>
        </w:rPr>
        <w:t>The metaphor of the eye points to spiritual perception shaped by devotion. A “good” eye reflects single-hearted loyalty to God, while a “bad” eye reflects divided or distorted allegiance. Biblically, light and darkness often describe moral and spiritual orientation, not mere knowledge (John 1:4–5). Jesus teaches that clarity in life flows from rightly ordered devotion. In everyday life, what consistently captures our attention—whether fear, comparison, or trust in God—shapes our inner life and moral discernment.</w:t>
      </w:r>
    </w:p>
    <w:p w14:paraId="24972A16" w14:textId="77777777" w:rsidR="002B6F25" w:rsidRDefault="002B6F25">
      <w:pPr>
        <w:rPr>
          <w:b/>
          <w:bCs/>
          <w:sz w:val="22"/>
          <w:szCs w:val="22"/>
        </w:rPr>
      </w:pPr>
      <w:r>
        <w:rPr>
          <w:b/>
          <w:bCs/>
          <w:sz w:val="22"/>
          <w:szCs w:val="22"/>
        </w:rPr>
        <w:br w:type="page"/>
      </w:r>
    </w:p>
    <w:p w14:paraId="0FD8353B" w14:textId="51722F8E" w:rsidR="002B6F25" w:rsidRPr="002B6F25" w:rsidRDefault="002B6F25" w:rsidP="002B6F25">
      <w:pPr>
        <w:rPr>
          <w:b/>
          <w:bCs/>
          <w:sz w:val="22"/>
          <w:szCs w:val="22"/>
        </w:rPr>
      </w:pPr>
      <w:r w:rsidRPr="002B6F25">
        <w:rPr>
          <w:b/>
          <w:bCs/>
          <w:sz w:val="22"/>
          <w:szCs w:val="22"/>
        </w:rPr>
        <w:lastRenderedPageBreak/>
        <w:t>4. Why does Jesus say we cannot serve both God and mammon, and how does this show up practically?</w:t>
      </w:r>
    </w:p>
    <w:p w14:paraId="747EBF3F"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6:24</w:t>
      </w:r>
    </w:p>
    <w:p w14:paraId="3D7BC82D" w14:textId="1E57B4E8" w:rsidR="002B6F25" w:rsidRPr="002B6F25" w:rsidRDefault="002B6F25" w:rsidP="002B6F25">
      <w:pPr>
        <w:rPr>
          <w:sz w:val="22"/>
          <w:szCs w:val="22"/>
        </w:rPr>
      </w:pPr>
      <w:r w:rsidRPr="002B6F25">
        <w:rPr>
          <w:sz w:val="22"/>
          <w:szCs w:val="22"/>
        </w:rPr>
        <w:t xml:space="preserve">Jesus presents God and mammon as rival masters because both claim authority over trust, security, and obedience. Biblically, “service” implies allegiance and submission, not casual use (Exodus 20:3). Wealth becomes spiritually dangerous when it promises what only God can provide—ultimate security and identity. In everyday life, this tension surfaces in decisions driven primarily by fear of loss or desire for control rather than faithfulness. Jesus’ teaching exposes money not as </w:t>
      </w:r>
      <w:proofErr w:type="gramStart"/>
      <w:r w:rsidRPr="002B6F25">
        <w:rPr>
          <w:sz w:val="22"/>
          <w:szCs w:val="22"/>
        </w:rPr>
        <w:t>evil in itself, but</w:t>
      </w:r>
      <w:proofErr w:type="gramEnd"/>
      <w:r w:rsidRPr="002B6F25">
        <w:rPr>
          <w:sz w:val="22"/>
          <w:szCs w:val="22"/>
        </w:rPr>
        <w:t xml:space="preserve"> as a powerful competitor for loyalty (1 Timothy 6:17).</w:t>
      </w:r>
    </w:p>
    <w:p w14:paraId="3A104951" w14:textId="77777777" w:rsidR="002B6F25" w:rsidRPr="002B6F25" w:rsidRDefault="002B6F25" w:rsidP="002B6F25">
      <w:pPr>
        <w:rPr>
          <w:b/>
          <w:bCs/>
          <w:sz w:val="22"/>
          <w:szCs w:val="22"/>
        </w:rPr>
      </w:pPr>
      <w:r w:rsidRPr="002B6F25">
        <w:rPr>
          <w:b/>
          <w:bCs/>
          <w:sz w:val="22"/>
          <w:szCs w:val="22"/>
        </w:rPr>
        <w:t>5. What reasons does Jesus give for not worrying about material needs?</w:t>
      </w:r>
    </w:p>
    <w:p w14:paraId="1DD987D0"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6:25–30</w:t>
      </w:r>
    </w:p>
    <w:p w14:paraId="3D3BF2CE" w14:textId="5DA7B354" w:rsidR="002B6F25" w:rsidRPr="002B6F25" w:rsidRDefault="002B6F25" w:rsidP="002B6F25">
      <w:pPr>
        <w:rPr>
          <w:sz w:val="22"/>
          <w:szCs w:val="22"/>
        </w:rPr>
      </w:pPr>
      <w:r w:rsidRPr="002B6F25">
        <w:rPr>
          <w:sz w:val="22"/>
          <w:szCs w:val="22"/>
        </w:rPr>
        <w:t xml:space="preserve">Jesus grounds His command against worry in the doctrine of </w:t>
      </w:r>
      <w:r w:rsidRPr="002B6F25">
        <w:rPr>
          <w:b/>
          <w:bCs/>
          <w:sz w:val="22"/>
          <w:szCs w:val="22"/>
        </w:rPr>
        <w:t>God’s providence</w:t>
      </w:r>
      <w:r w:rsidRPr="002B6F25">
        <w:rPr>
          <w:sz w:val="22"/>
          <w:szCs w:val="22"/>
        </w:rPr>
        <w:t>. By pointing to birds and lilies, He affirms that God actively sustains creation and cares for it according to His wisdom. Worry reflects a functional denial of this care, assuming responsibility for outcomes God claims as His own. Theologically, Jesus frames worry as inconsistent with trust in a faithful Creator. In daily life, this does not remove responsibility, but it reorients effort away from anxiety and toward dependence on God (Psalm 55:22).</w:t>
      </w:r>
    </w:p>
    <w:p w14:paraId="5B4D15EE" w14:textId="77777777" w:rsidR="002B6F25" w:rsidRPr="002B6F25" w:rsidRDefault="002B6F25" w:rsidP="002B6F25">
      <w:pPr>
        <w:rPr>
          <w:b/>
          <w:bCs/>
          <w:sz w:val="22"/>
          <w:szCs w:val="22"/>
        </w:rPr>
      </w:pPr>
      <w:r w:rsidRPr="002B6F25">
        <w:rPr>
          <w:b/>
          <w:bCs/>
          <w:sz w:val="22"/>
          <w:szCs w:val="22"/>
        </w:rPr>
        <w:t>6. How does Jesus distinguish between legitimate needs and unhealthy anxiety?</w:t>
      </w:r>
    </w:p>
    <w:p w14:paraId="4CA14AD5" w14:textId="77777777" w:rsidR="002B6F25" w:rsidRDefault="002B6F25" w:rsidP="002B6F25">
      <w:pPr>
        <w:rPr>
          <w:sz w:val="22"/>
          <w:szCs w:val="22"/>
        </w:rPr>
      </w:pPr>
      <w:r w:rsidRPr="002B6F25">
        <w:rPr>
          <w:b/>
          <w:bCs/>
          <w:sz w:val="22"/>
          <w:szCs w:val="22"/>
        </w:rPr>
        <w:t>Scripture:</w:t>
      </w:r>
      <w:r w:rsidRPr="002B6F25">
        <w:rPr>
          <w:sz w:val="22"/>
          <w:szCs w:val="22"/>
        </w:rPr>
        <w:t xml:space="preserve"> Matthew 6:31–32</w:t>
      </w:r>
    </w:p>
    <w:p w14:paraId="772AD508" w14:textId="62C0A8F1" w:rsidR="002B6F25" w:rsidRPr="002B6F25" w:rsidRDefault="002B6F25" w:rsidP="002B6F25">
      <w:pPr>
        <w:rPr>
          <w:sz w:val="22"/>
          <w:szCs w:val="22"/>
        </w:rPr>
      </w:pPr>
      <w:r w:rsidRPr="002B6F25">
        <w:rPr>
          <w:sz w:val="22"/>
          <w:szCs w:val="22"/>
        </w:rPr>
        <w:t>Jesus acknowledges real human needs while contrasting the pursuit of those needs with the posture of those who do not know God. Anxiety reveals a worldview in which provision depends solely on human effort. Jesus counters this by affirming God as a knowing Father who is attentive to the needs of His children. Theologically, this reflects covenant relationship—God’s care is personal, not abstract. Practically, believers are invited to act responsibly while resisting the belief that everything depends on them (Psalm 37:23–25).</w:t>
      </w:r>
    </w:p>
    <w:p w14:paraId="2482D55F" w14:textId="77777777" w:rsidR="002B6F25" w:rsidRPr="002B6F25" w:rsidRDefault="002B6F25" w:rsidP="002B6F25">
      <w:pPr>
        <w:rPr>
          <w:b/>
          <w:bCs/>
          <w:sz w:val="22"/>
          <w:szCs w:val="22"/>
        </w:rPr>
      </w:pPr>
      <w:r w:rsidRPr="002B6F25">
        <w:rPr>
          <w:b/>
          <w:bCs/>
          <w:sz w:val="22"/>
          <w:szCs w:val="22"/>
        </w:rPr>
        <w:t>7. What does it mean to “seek first the kingdom of God,” and how does this reshape daily priorities?</w:t>
      </w:r>
    </w:p>
    <w:p w14:paraId="4A405E19"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6:33</w:t>
      </w:r>
    </w:p>
    <w:p w14:paraId="2266D4F4" w14:textId="0875F528" w:rsidR="002B6F25" w:rsidRPr="002B6F25" w:rsidRDefault="002B6F25" w:rsidP="002B6F25">
      <w:pPr>
        <w:rPr>
          <w:sz w:val="22"/>
          <w:szCs w:val="22"/>
        </w:rPr>
      </w:pPr>
      <w:r w:rsidRPr="002B6F25">
        <w:rPr>
          <w:sz w:val="22"/>
          <w:szCs w:val="22"/>
        </w:rPr>
        <w:t>Seeking first the kingdom means ordering life around God’s reign, values, and purposes rather than personal security or advancement. Theologically, this reflects submission to God’s rule and trust in His provision. Jesus does not promise the absence of needs, but He promises that necessities will not rival obedience. In daily life, seeking the kingdom shapes decisions about time, relationships, work, and integrity. It frames all responsibilities as secondary to faithfulness to God (Romans 14:17).</w:t>
      </w:r>
    </w:p>
    <w:p w14:paraId="7E9F1A8A" w14:textId="77777777" w:rsidR="002B6F25" w:rsidRDefault="002B6F25">
      <w:pPr>
        <w:rPr>
          <w:b/>
          <w:bCs/>
          <w:sz w:val="22"/>
          <w:szCs w:val="22"/>
        </w:rPr>
      </w:pPr>
      <w:r>
        <w:rPr>
          <w:b/>
          <w:bCs/>
          <w:sz w:val="22"/>
          <w:szCs w:val="22"/>
        </w:rPr>
        <w:br w:type="page"/>
      </w:r>
    </w:p>
    <w:p w14:paraId="66664C06" w14:textId="56365D1E" w:rsidR="002B6F25" w:rsidRPr="002B6F25" w:rsidRDefault="002B6F25" w:rsidP="002B6F25">
      <w:pPr>
        <w:rPr>
          <w:b/>
          <w:bCs/>
          <w:sz w:val="22"/>
          <w:szCs w:val="22"/>
        </w:rPr>
      </w:pPr>
      <w:r w:rsidRPr="002B6F25">
        <w:rPr>
          <w:b/>
          <w:bCs/>
          <w:sz w:val="22"/>
          <w:szCs w:val="22"/>
        </w:rPr>
        <w:lastRenderedPageBreak/>
        <w:t>8. Why does Jesus instruct believers to focus on today rather than worrying about tomorrow?</w:t>
      </w:r>
    </w:p>
    <w:p w14:paraId="7D7F71D2" w14:textId="77777777" w:rsidR="002B6F25" w:rsidRPr="002B6F25" w:rsidRDefault="002B6F25" w:rsidP="002B6F25">
      <w:pPr>
        <w:rPr>
          <w:sz w:val="22"/>
          <w:szCs w:val="22"/>
        </w:rPr>
      </w:pPr>
      <w:r w:rsidRPr="002B6F25">
        <w:rPr>
          <w:b/>
          <w:bCs/>
          <w:sz w:val="22"/>
          <w:szCs w:val="22"/>
        </w:rPr>
        <w:t>Scripture:</w:t>
      </w:r>
      <w:r w:rsidRPr="002B6F25">
        <w:rPr>
          <w:sz w:val="22"/>
          <w:szCs w:val="22"/>
        </w:rPr>
        <w:t xml:space="preserve"> Matthew 6:34</w:t>
      </w:r>
    </w:p>
    <w:p w14:paraId="1D3E77DB" w14:textId="3E412CA3" w:rsidR="002B6F25" w:rsidRPr="002B6F25" w:rsidRDefault="002B6F25" w:rsidP="002B6F25">
      <w:pPr>
        <w:rPr>
          <w:sz w:val="22"/>
          <w:szCs w:val="22"/>
        </w:rPr>
      </w:pPr>
      <w:r w:rsidRPr="002B6F25">
        <w:rPr>
          <w:sz w:val="22"/>
          <w:szCs w:val="22"/>
        </w:rPr>
        <w:t xml:space="preserve">Jesus teaches a theology of </w:t>
      </w:r>
      <w:r w:rsidRPr="002B6F25">
        <w:rPr>
          <w:b/>
          <w:bCs/>
          <w:sz w:val="22"/>
          <w:szCs w:val="22"/>
        </w:rPr>
        <w:t>daily dependence</w:t>
      </w:r>
      <w:r w:rsidRPr="002B6F25">
        <w:rPr>
          <w:sz w:val="22"/>
          <w:szCs w:val="22"/>
        </w:rPr>
        <w:t>. Each day is presented as a space where God’s grace and provision are sufficient. Worrying about the future assumes knowledge and control that belong to God alone. Biblically, this reflects Israel’s experience with daily manna—enough for today, not hoarded for tomorrow (Exodus 16:4). In everyday life, this encourages faithful obedience in the present rather than paralysis over uncertain outcomes, trusting God’s mercies to meet tomorrow’s needs (Lamentations 3:22–23).</w:t>
      </w:r>
    </w:p>
    <w:p w14:paraId="4F6521A3" w14:textId="2B7E507F" w:rsidR="001D533C" w:rsidRPr="00E4018E" w:rsidRDefault="001D533C" w:rsidP="00E4018E">
      <w:pPr>
        <w:rPr>
          <w:sz w:val="22"/>
          <w:szCs w:val="22"/>
        </w:rPr>
      </w:pPr>
    </w:p>
    <w:sectPr w:rsidR="001D533C" w:rsidRPr="00E4018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F050" w14:textId="77777777" w:rsidR="00103ADE" w:rsidRDefault="00103ADE" w:rsidP="002B6F25">
      <w:pPr>
        <w:spacing w:after="0" w:line="240" w:lineRule="auto"/>
      </w:pPr>
      <w:r>
        <w:separator/>
      </w:r>
    </w:p>
  </w:endnote>
  <w:endnote w:type="continuationSeparator" w:id="0">
    <w:p w14:paraId="001CE71C" w14:textId="77777777" w:rsidR="00103ADE" w:rsidRDefault="00103ADE" w:rsidP="002B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7CEC" w14:textId="3288BA90" w:rsidR="002B6F25" w:rsidRPr="002B6F25" w:rsidRDefault="002B6F25">
    <w:pPr>
      <w:pStyle w:val="Footer"/>
      <w:rPr>
        <w:sz w:val="20"/>
        <w:szCs w:val="20"/>
      </w:rPr>
    </w:pPr>
    <w:r w:rsidRPr="002B6F25">
      <w:rPr>
        <w:sz w:val="20"/>
        <w:szCs w:val="20"/>
      </w:rPr>
      <w:fldChar w:fldCharType="begin"/>
    </w:r>
    <w:r w:rsidRPr="002B6F25">
      <w:rPr>
        <w:sz w:val="20"/>
        <w:szCs w:val="20"/>
      </w:rPr>
      <w:instrText xml:space="preserve"> PAGE   \* MERGEFORMAT </w:instrText>
    </w:r>
    <w:r w:rsidRPr="002B6F25">
      <w:rPr>
        <w:sz w:val="20"/>
        <w:szCs w:val="20"/>
      </w:rPr>
      <w:fldChar w:fldCharType="separate"/>
    </w:r>
    <w:r w:rsidRPr="002B6F25">
      <w:rPr>
        <w:noProof/>
        <w:sz w:val="20"/>
        <w:szCs w:val="20"/>
      </w:rPr>
      <w:t>1</w:t>
    </w:r>
    <w:r w:rsidRPr="002B6F2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BA7D" w14:textId="77777777" w:rsidR="00103ADE" w:rsidRDefault="00103ADE" w:rsidP="002B6F25">
      <w:pPr>
        <w:spacing w:after="0" w:line="240" w:lineRule="auto"/>
      </w:pPr>
      <w:r>
        <w:separator/>
      </w:r>
    </w:p>
  </w:footnote>
  <w:footnote w:type="continuationSeparator" w:id="0">
    <w:p w14:paraId="0BAA8545" w14:textId="77777777" w:rsidR="00103ADE" w:rsidRDefault="00103ADE" w:rsidP="002B6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8E"/>
    <w:rsid w:val="00103ADE"/>
    <w:rsid w:val="001D533C"/>
    <w:rsid w:val="002B6F25"/>
    <w:rsid w:val="0035606C"/>
    <w:rsid w:val="005A1D53"/>
    <w:rsid w:val="00CA1F87"/>
    <w:rsid w:val="00E4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99DD"/>
  <w15:chartTrackingRefBased/>
  <w15:docId w15:val="{9BC093C8-C95B-445B-8C45-72611923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8E"/>
    <w:rPr>
      <w:rFonts w:eastAsiaTheme="majorEastAsia" w:cstheme="majorBidi"/>
      <w:color w:val="272727" w:themeColor="text1" w:themeTint="D8"/>
    </w:rPr>
  </w:style>
  <w:style w:type="paragraph" w:styleId="Title">
    <w:name w:val="Title"/>
    <w:basedOn w:val="Normal"/>
    <w:next w:val="Normal"/>
    <w:link w:val="TitleChar"/>
    <w:uiPriority w:val="10"/>
    <w:qFormat/>
    <w:rsid w:val="00E40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8E"/>
    <w:pPr>
      <w:spacing w:before="160"/>
      <w:jc w:val="center"/>
    </w:pPr>
    <w:rPr>
      <w:i/>
      <w:iCs/>
      <w:color w:val="404040" w:themeColor="text1" w:themeTint="BF"/>
    </w:rPr>
  </w:style>
  <w:style w:type="character" w:customStyle="1" w:styleId="QuoteChar">
    <w:name w:val="Quote Char"/>
    <w:basedOn w:val="DefaultParagraphFont"/>
    <w:link w:val="Quote"/>
    <w:uiPriority w:val="29"/>
    <w:rsid w:val="00E4018E"/>
    <w:rPr>
      <w:i/>
      <w:iCs/>
      <w:color w:val="404040" w:themeColor="text1" w:themeTint="BF"/>
    </w:rPr>
  </w:style>
  <w:style w:type="paragraph" w:styleId="ListParagraph">
    <w:name w:val="List Paragraph"/>
    <w:basedOn w:val="Normal"/>
    <w:uiPriority w:val="34"/>
    <w:qFormat/>
    <w:rsid w:val="00E4018E"/>
    <w:pPr>
      <w:ind w:left="720"/>
      <w:contextualSpacing/>
    </w:pPr>
  </w:style>
  <w:style w:type="character" w:styleId="IntenseEmphasis">
    <w:name w:val="Intense Emphasis"/>
    <w:basedOn w:val="DefaultParagraphFont"/>
    <w:uiPriority w:val="21"/>
    <w:qFormat/>
    <w:rsid w:val="00E4018E"/>
    <w:rPr>
      <w:i/>
      <w:iCs/>
      <w:color w:val="0F4761" w:themeColor="accent1" w:themeShade="BF"/>
    </w:rPr>
  </w:style>
  <w:style w:type="paragraph" w:styleId="IntenseQuote">
    <w:name w:val="Intense Quote"/>
    <w:basedOn w:val="Normal"/>
    <w:next w:val="Normal"/>
    <w:link w:val="IntenseQuoteChar"/>
    <w:uiPriority w:val="30"/>
    <w:qFormat/>
    <w:rsid w:val="00E4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8E"/>
    <w:rPr>
      <w:i/>
      <w:iCs/>
      <w:color w:val="0F4761" w:themeColor="accent1" w:themeShade="BF"/>
    </w:rPr>
  </w:style>
  <w:style w:type="character" w:styleId="IntenseReference">
    <w:name w:val="Intense Reference"/>
    <w:basedOn w:val="DefaultParagraphFont"/>
    <w:uiPriority w:val="32"/>
    <w:qFormat/>
    <w:rsid w:val="00E4018E"/>
    <w:rPr>
      <w:b/>
      <w:bCs/>
      <w:smallCaps/>
      <w:color w:val="0F4761" w:themeColor="accent1" w:themeShade="BF"/>
      <w:spacing w:val="5"/>
    </w:rPr>
  </w:style>
  <w:style w:type="paragraph" w:styleId="Header">
    <w:name w:val="header"/>
    <w:basedOn w:val="Normal"/>
    <w:link w:val="HeaderChar"/>
    <w:uiPriority w:val="99"/>
    <w:unhideWhenUsed/>
    <w:rsid w:val="002B6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25"/>
  </w:style>
  <w:style w:type="paragraph" w:styleId="Footer">
    <w:name w:val="footer"/>
    <w:basedOn w:val="Normal"/>
    <w:link w:val="FooterChar"/>
    <w:uiPriority w:val="99"/>
    <w:unhideWhenUsed/>
    <w:rsid w:val="002B6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4752</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Noble Research Institute</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 Steven</dc:creator>
  <cp:keywords/>
  <dc:description/>
  <cp:lastModifiedBy>Rhines, Steven</cp:lastModifiedBy>
  <cp:revision>1</cp:revision>
  <dcterms:created xsi:type="dcterms:W3CDTF">2025-12-31T13:40:00Z</dcterms:created>
  <dcterms:modified xsi:type="dcterms:W3CDTF">2025-12-31T13:56:00Z</dcterms:modified>
</cp:coreProperties>
</file>